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 FINANCIJSKOG PLANA ZA 201</w:t>
      </w:r>
      <w:r w:rsidR="00BF1F54">
        <w:rPr>
          <w:rFonts w:ascii="Arial" w:hAnsi="Arial" w:cs="Arial"/>
          <w:b/>
          <w:sz w:val="24"/>
          <w:szCs w:val="24"/>
        </w:rPr>
        <w:t>5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201</w:t>
      </w:r>
      <w:r w:rsidR="00BF1F54">
        <w:rPr>
          <w:rFonts w:ascii="Arial" w:hAnsi="Arial" w:cs="Arial"/>
          <w:b/>
          <w:sz w:val="24"/>
          <w:szCs w:val="24"/>
        </w:rPr>
        <w:t>6</w:t>
      </w:r>
      <w:r w:rsidRPr="00EE149C">
        <w:rPr>
          <w:rFonts w:ascii="Arial" w:hAnsi="Arial" w:cs="Arial"/>
          <w:b/>
          <w:sz w:val="24"/>
          <w:szCs w:val="24"/>
        </w:rPr>
        <w:t>. I 201</w:t>
      </w:r>
      <w:r w:rsidR="00BF1F54">
        <w:rPr>
          <w:rFonts w:ascii="Arial" w:hAnsi="Arial" w:cs="Arial"/>
          <w:b/>
          <w:sz w:val="24"/>
          <w:szCs w:val="24"/>
        </w:rPr>
        <w:t>7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Pr="00EE149C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BF1F54">
        <w:rPr>
          <w:rFonts w:ascii="Arial" w:hAnsi="Arial" w:cs="Arial"/>
          <w:sz w:val="20"/>
          <w:szCs w:val="20"/>
        </w:rPr>
        <w:t xml:space="preserve"> i poslijepodnevnoj</w:t>
      </w:r>
      <w:r>
        <w:rPr>
          <w:rFonts w:ascii="Arial" w:hAnsi="Arial" w:cs="Arial"/>
          <w:sz w:val="20"/>
          <w:szCs w:val="20"/>
        </w:rPr>
        <w:t xml:space="preserve"> smjeni u petodnevnom radnom tjednu sa slobodnim subotama. Nastava, redovna, izborna, dodatna i dopunska izvodi se prema Nastavnom planu i programu, Godišnjem planu i programu rada Škole, te Školskom kurikulumu za školsku godinu 201</w:t>
      </w:r>
      <w:r w:rsidR="00BF1F5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./201</w:t>
      </w:r>
      <w:r w:rsidR="00BF1F5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226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CA71F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1</w:t>
      </w:r>
      <w:r w:rsidR="00CA71F7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 xml:space="preserve"> učenika, a područnu školu </w:t>
      </w:r>
      <w:r w:rsidR="00BF1F54">
        <w:rPr>
          <w:rFonts w:ascii="Arial" w:hAnsi="Arial" w:cs="Arial"/>
          <w:sz w:val="20"/>
          <w:szCs w:val="20"/>
        </w:rPr>
        <w:t xml:space="preserve">Veliki </w:t>
      </w:r>
      <w:proofErr w:type="spellStart"/>
      <w:r w:rsidR="00BF1F54">
        <w:rPr>
          <w:rFonts w:ascii="Arial" w:hAnsi="Arial" w:cs="Arial"/>
          <w:sz w:val="20"/>
          <w:szCs w:val="20"/>
        </w:rPr>
        <w:t>Botinovac</w:t>
      </w:r>
      <w:proofErr w:type="spellEnd"/>
      <w:r w:rsidR="00BF1F54"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7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26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BF1F54">
        <w:rPr>
          <w:rFonts w:ascii="Arial" w:hAnsi="Arial" w:cs="Arial"/>
          <w:sz w:val="20"/>
          <w:szCs w:val="20"/>
        </w:rPr>
        <w:t>3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CA71F7">
        <w:rPr>
          <w:rFonts w:ascii="Arial" w:hAnsi="Arial" w:cs="Arial"/>
          <w:sz w:val="20"/>
          <w:szCs w:val="20"/>
        </w:rPr>
        <w:t>17</w:t>
      </w:r>
      <w:r w:rsidR="00BF1F54">
        <w:rPr>
          <w:rFonts w:ascii="Arial" w:hAnsi="Arial" w:cs="Arial"/>
          <w:sz w:val="20"/>
          <w:szCs w:val="20"/>
        </w:rPr>
        <w:t xml:space="preserve"> učenika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C804B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učitelj predmetne nastave, 2 stručna suradnika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C804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ostali djelatnici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 (NN broj 87/08, 86/09., 92/10., 90/11.</w:t>
      </w:r>
      <w:r w:rsidR="00C804B8">
        <w:rPr>
          <w:rFonts w:ascii="Arial" w:hAnsi="Arial" w:cs="Arial"/>
          <w:sz w:val="20"/>
          <w:szCs w:val="20"/>
        </w:rPr>
        <w:t>,105/11</w:t>
      </w:r>
      <w:r w:rsidRPr="000B7088">
        <w:rPr>
          <w:rFonts w:ascii="Arial" w:hAnsi="Arial" w:cs="Arial"/>
          <w:sz w:val="20"/>
          <w:szCs w:val="20"/>
        </w:rPr>
        <w:t>.</w:t>
      </w:r>
      <w:r w:rsidR="00C804B8">
        <w:rPr>
          <w:rFonts w:ascii="Arial" w:hAnsi="Arial" w:cs="Arial"/>
          <w:sz w:val="20"/>
          <w:szCs w:val="20"/>
        </w:rPr>
        <w:t>,16/12.,86/12.,126/12</w:t>
      </w:r>
      <w:r w:rsidRPr="000B7088">
        <w:rPr>
          <w:rFonts w:ascii="Arial" w:hAnsi="Arial" w:cs="Arial"/>
          <w:sz w:val="20"/>
          <w:szCs w:val="20"/>
        </w:rPr>
        <w:t>), Zakon o ustanovama (NN 76/93., 29/97., 47/99. i 35/08.), Zakon o  proračunu  i  registrirani djelokrug rada ustanove.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Upute za izradu proračuna lokalne (regionalne) samouprave za razdoblje 2014.-2016. od 23. listopada  2012. KLASA:400-06/13-01/0015, URBROJ:2137/01-04/1-13-6. 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Godišnji izvedbeni odgojno, obrazovni plan i program rada za školsku godinu 2014./2015. </w:t>
      </w:r>
    </w:p>
    <w:p w:rsidR="008E57B3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Školski kurikulum OŠ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0B7088">
        <w:rPr>
          <w:rFonts w:ascii="Arial" w:hAnsi="Arial" w:cs="Arial"/>
          <w:sz w:val="20"/>
          <w:szCs w:val="20"/>
        </w:rPr>
        <w:t>, nastavne i izvannastavne aktivnosti za školsku godinu 2014./2015.</w:t>
      </w:r>
    </w:p>
    <w:p w:rsidR="00C804B8" w:rsidRPr="000B708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lastRenderedPageBreak/>
        <w:t>Usklađenost ciljeva, strategije programa s dokumentima dugoročnog razvoja</w:t>
      </w: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r w:rsidR="008A51F0">
        <w:rPr>
          <w:rFonts w:ascii="Arial" w:hAnsi="Arial" w:cs="Arial"/>
          <w:sz w:val="20"/>
          <w:szCs w:val="20"/>
        </w:rPr>
        <w:t>Sokolovac</w:t>
      </w:r>
      <w:r w:rsidRPr="00E0553A">
        <w:rPr>
          <w:rFonts w:ascii="Arial" w:hAnsi="Arial" w:cs="Arial"/>
          <w:sz w:val="20"/>
          <w:szCs w:val="20"/>
        </w:rPr>
        <w:t xml:space="preserve"> donosi godišnji operativni plan i školski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7A46E6" w:rsidRDefault="007A46E6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8E57B3" w:rsidRDefault="008E57B3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državnog proračuna u 201</w:t>
      </w:r>
      <w:r w:rsidR="00C804B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godini ostvariti </w:t>
      </w:r>
      <w:r w:rsidR="00C804B8">
        <w:rPr>
          <w:rFonts w:ascii="Arial" w:hAnsi="Arial" w:cs="Arial"/>
          <w:sz w:val="20"/>
          <w:szCs w:val="20"/>
        </w:rPr>
        <w:t>4.381.000</w:t>
      </w:r>
      <w:r>
        <w:rPr>
          <w:rFonts w:ascii="Arial" w:hAnsi="Arial" w:cs="Arial"/>
          <w:sz w:val="20"/>
          <w:szCs w:val="20"/>
        </w:rPr>
        <w:t>,00 kn prihoda, u 201</w:t>
      </w:r>
      <w:r w:rsidR="004C390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g. </w:t>
      </w:r>
      <w:r w:rsidR="004C3901">
        <w:rPr>
          <w:rFonts w:ascii="Arial" w:hAnsi="Arial" w:cs="Arial"/>
          <w:sz w:val="20"/>
          <w:szCs w:val="20"/>
        </w:rPr>
        <w:t>4.381.000</w:t>
      </w:r>
      <w:r>
        <w:rPr>
          <w:rFonts w:ascii="Arial" w:hAnsi="Arial" w:cs="Arial"/>
          <w:sz w:val="20"/>
          <w:szCs w:val="20"/>
        </w:rPr>
        <w:t xml:space="preserve">,00 i 2016. g. </w:t>
      </w:r>
      <w:r w:rsidR="004C39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4C3901">
        <w:rPr>
          <w:rFonts w:ascii="Arial" w:hAnsi="Arial" w:cs="Arial"/>
          <w:sz w:val="20"/>
          <w:szCs w:val="20"/>
        </w:rPr>
        <w:t>381</w:t>
      </w:r>
      <w:r>
        <w:rPr>
          <w:rFonts w:ascii="Arial" w:hAnsi="Arial" w:cs="Arial"/>
          <w:sz w:val="20"/>
          <w:szCs w:val="20"/>
        </w:rPr>
        <w:t>.000,00,</w:t>
      </w:r>
    </w:p>
    <w:p w:rsidR="008E57B3" w:rsidRDefault="008E57B3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županijskog proračuna u 201</w:t>
      </w:r>
      <w:r w:rsidR="004C39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godini ostvariti </w:t>
      </w:r>
      <w:r w:rsidR="004C3901">
        <w:rPr>
          <w:rFonts w:ascii="Arial" w:hAnsi="Arial" w:cs="Arial"/>
          <w:sz w:val="20"/>
          <w:szCs w:val="20"/>
        </w:rPr>
        <w:t>767</w:t>
      </w:r>
      <w:r>
        <w:rPr>
          <w:rFonts w:ascii="Arial" w:hAnsi="Arial" w:cs="Arial"/>
          <w:sz w:val="20"/>
          <w:szCs w:val="20"/>
        </w:rPr>
        <w:t>.</w:t>
      </w:r>
      <w:r w:rsidR="004C390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00,00 kn prihoda, u 201</w:t>
      </w:r>
      <w:r w:rsidR="004C390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g. </w:t>
      </w:r>
      <w:r w:rsidR="004C3901">
        <w:rPr>
          <w:rFonts w:ascii="Arial" w:hAnsi="Arial" w:cs="Arial"/>
          <w:sz w:val="20"/>
          <w:szCs w:val="20"/>
        </w:rPr>
        <w:t>767.900,00</w:t>
      </w:r>
      <w:r>
        <w:rPr>
          <w:rFonts w:ascii="Arial" w:hAnsi="Arial" w:cs="Arial"/>
          <w:sz w:val="20"/>
          <w:szCs w:val="20"/>
        </w:rPr>
        <w:t xml:space="preserve"> i 2016. g. </w:t>
      </w:r>
      <w:r w:rsidR="004C3901">
        <w:rPr>
          <w:rFonts w:ascii="Arial" w:hAnsi="Arial" w:cs="Arial"/>
          <w:sz w:val="20"/>
          <w:szCs w:val="20"/>
        </w:rPr>
        <w:t>767.900,00</w:t>
      </w:r>
    </w:p>
    <w:p w:rsidR="008E57B3" w:rsidRDefault="008E57B3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županijskog proračuna – iznad standarda u 201</w:t>
      </w:r>
      <w:r w:rsidR="004C39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godini ostvariti </w:t>
      </w:r>
      <w:r w:rsidR="004C3901">
        <w:rPr>
          <w:rFonts w:ascii="Arial" w:hAnsi="Arial" w:cs="Arial"/>
          <w:sz w:val="20"/>
          <w:szCs w:val="20"/>
        </w:rPr>
        <w:t>5.296.300,00</w:t>
      </w:r>
      <w:r>
        <w:rPr>
          <w:rFonts w:ascii="Arial" w:hAnsi="Arial" w:cs="Arial"/>
          <w:sz w:val="20"/>
          <w:szCs w:val="20"/>
        </w:rPr>
        <w:t xml:space="preserve"> kn prihoda, u 201</w:t>
      </w:r>
      <w:r w:rsidR="004C390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g. 1</w:t>
      </w:r>
      <w:r w:rsidR="004C3901">
        <w:rPr>
          <w:rFonts w:ascii="Arial" w:hAnsi="Arial" w:cs="Arial"/>
          <w:sz w:val="20"/>
          <w:szCs w:val="20"/>
        </w:rPr>
        <w:t>19.0</w:t>
      </w:r>
      <w:r>
        <w:rPr>
          <w:rFonts w:ascii="Arial" w:hAnsi="Arial" w:cs="Arial"/>
          <w:sz w:val="20"/>
          <w:szCs w:val="20"/>
        </w:rPr>
        <w:t>00,00 i 201</w:t>
      </w:r>
      <w:r w:rsidR="004C390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g. </w:t>
      </w:r>
      <w:r w:rsidR="004C3901">
        <w:rPr>
          <w:rFonts w:ascii="Arial" w:hAnsi="Arial" w:cs="Arial"/>
          <w:sz w:val="20"/>
          <w:szCs w:val="20"/>
        </w:rPr>
        <w:t>119.000</w:t>
      </w:r>
      <w:r>
        <w:rPr>
          <w:rFonts w:ascii="Arial" w:hAnsi="Arial" w:cs="Arial"/>
          <w:sz w:val="20"/>
          <w:szCs w:val="20"/>
        </w:rPr>
        <w:t>,00</w:t>
      </w:r>
    </w:p>
    <w:p w:rsidR="004C3901" w:rsidRDefault="004C3901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prihoda JLS – u 2015. godini ostvariti 57.000,00 kn, u 2016 g. 57.000,00 kn. i u 2017. 57.000,00 kn.</w:t>
      </w:r>
    </w:p>
    <w:p w:rsidR="008E57B3" w:rsidRDefault="008E57B3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6382">
        <w:rPr>
          <w:rFonts w:ascii="Arial" w:hAnsi="Arial" w:cs="Arial"/>
          <w:sz w:val="20"/>
          <w:szCs w:val="20"/>
        </w:rPr>
        <w:t xml:space="preserve">Iz namjenskih prihoda </w:t>
      </w:r>
      <w:r>
        <w:rPr>
          <w:rFonts w:ascii="Arial" w:hAnsi="Arial" w:cs="Arial"/>
          <w:sz w:val="20"/>
          <w:szCs w:val="20"/>
        </w:rPr>
        <w:t>u 201</w:t>
      </w:r>
      <w:r w:rsidR="004C39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godini ostvariti </w:t>
      </w:r>
      <w:r w:rsidR="004C3901">
        <w:rPr>
          <w:rFonts w:ascii="Arial" w:hAnsi="Arial" w:cs="Arial"/>
          <w:sz w:val="20"/>
          <w:szCs w:val="20"/>
        </w:rPr>
        <w:t>186.500</w:t>
      </w:r>
      <w:r>
        <w:rPr>
          <w:rFonts w:ascii="Arial" w:hAnsi="Arial" w:cs="Arial"/>
          <w:sz w:val="20"/>
          <w:szCs w:val="20"/>
        </w:rPr>
        <w:t>,00 kn prihoda, u 201</w:t>
      </w:r>
      <w:r w:rsidR="004C390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g. </w:t>
      </w:r>
      <w:r w:rsidR="004C3901">
        <w:rPr>
          <w:rFonts w:ascii="Arial" w:hAnsi="Arial" w:cs="Arial"/>
          <w:sz w:val="20"/>
          <w:szCs w:val="20"/>
        </w:rPr>
        <w:t>186.500</w:t>
      </w:r>
      <w:r>
        <w:rPr>
          <w:rFonts w:ascii="Arial" w:hAnsi="Arial" w:cs="Arial"/>
          <w:sz w:val="20"/>
          <w:szCs w:val="20"/>
        </w:rPr>
        <w:t>,00 i 201</w:t>
      </w:r>
      <w:r w:rsidR="004C390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g. </w:t>
      </w:r>
      <w:r w:rsidR="004C3901">
        <w:rPr>
          <w:rFonts w:ascii="Arial" w:hAnsi="Arial" w:cs="Arial"/>
          <w:sz w:val="20"/>
          <w:szCs w:val="20"/>
        </w:rPr>
        <w:t>186.500,00</w:t>
      </w:r>
    </w:p>
    <w:p w:rsidR="008E57B3" w:rsidRDefault="008E57B3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donacija u 201</w:t>
      </w:r>
      <w:r w:rsidR="004C39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godini ostvariti 1.000,00 kn prihoda, u 201</w:t>
      </w:r>
      <w:r w:rsidR="004C390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g. 1.000,00 i 201</w:t>
      </w:r>
      <w:r w:rsidR="004C390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g. 1</w:t>
      </w:r>
      <w:r w:rsidR="004C3901">
        <w:rPr>
          <w:rFonts w:ascii="Arial" w:hAnsi="Arial" w:cs="Arial"/>
          <w:sz w:val="20"/>
          <w:szCs w:val="20"/>
        </w:rPr>
        <w:t>.000,00</w:t>
      </w:r>
    </w:p>
    <w:p w:rsidR="008E57B3" w:rsidRPr="00356823" w:rsidRDefault="008E57B3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Višak prenesen iz 201</w:t>
      </w:r>
      <w:r w:rsidR="004C390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godine u 201</w:t>
      </w:r>
      <w:r w:rsidR="004C39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godinu </w:t>
      </w:r>
      <w:r w:rsidR="004C3901">
        <w:rPr>
          <w:rFonts w:ascii="Arial" w:hAnsi="Arial" w:cs="Arial"/>
          <w:sz w:val="20"/>
          <w:szCs w:val="20"/>
        </w:rPr>
        <w:t>28</w:t>
      </w:r>
      <w:r w:rsidRPr="00076C0F">
        <w:rPr>
          <w:rFonts w:ascii="Arial" w:hAnsi="Arial" w:cs="Arial"/>
          <w:sz w:val="20"/>
          <w:szCs w:val="20"/>
        </w:rPr>
        <w:t>.</w:t>
      </w:r>
      <w:r w:rsidR="004C3901">
        <w:rPr>
          <w:rFonts w:ascii="Arial" w:hAnsi="Arial" w:cs="Arial"/>
          <w:sz w:val="20"/>
          <w:szCs w:val="20"/>
        </w:rPr>
        <w:t>674</w:t>
      </w:r>
      <w:r w:rsidRPr="00076C0F">
        <w:rPr>
          <w:rFonts w:ascii="Arial" w:hAnsi="Arial" w:cs="Arial"/>
          <w:sz w:val="20"/>
          <w:szCs w:val="20"/>
        </w:rPr>
        <w:t>,</w:t>
      </w:r>
      <w:r w:rsidR="004C3901">
        <w:rPr>
          <w:rFonts w:ascii="Arial" w:hAnsi="Arial" w:cs="Arial"/>
          <w:sz w:val="20"/>
          <w:szCs w:val="20"/>
        </w:rPr>
        <w:t>69</w:t>
      </w:r>
      <w:r>
        <w:rPr>
          <w:rFonts w:ascii="Arial" w:hAnsi="Arial" w:cs="Arial"/>
          <w:sz w:val="20"/>
          <w:szCs w:val="20"/>
        </w:rPr>
        <w:t xml:space="preserve"> kuna.</w:t>
      </w:r>
    </w:p>
    <w:p w:rsidR="008E57B3" w:rsidRPr="00356823" w:rsidRDefault="008E57B3" w:rsidP="008E57B3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E57B3" w:rsidRPr="00356823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356823">
        <w:rPr>
          <w:rFonts w:ascii="Arial" w:hAnsi="Arial" w:cs="Arial"/>
          <w:sz w:val="20"/>
          <w:szCs w:val="20"/>
        </w:rPr>
        <w:t>Prihodima iz državnog proračuna predviđeno je financiranje:</w:t>
      </w:r>
    </w:p>
    <w:p w:rsidR="008E57B3" w:rsidRPr="007621EA" w:rsidRDefault="008E57B3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Rashoda za zaposlene u iznosu od </w:t>
      </w:r>
      <w:r w:rsidR="008A69E6">
        <w:rPr>
          <w:rFonts w:ascii="Arial" w:hAnsi="Arial" w:cs="Arial"/>
          <w:sz w:val="20"/>
          <w:szCs w:val="20"/>
        </w:rPr>
        <w:t>4.381</w:t>
      </w:r>
      <w:r>
        <w:rPr>
          <w:rFonts w:ascii="Arial" w:hAnsi="Arial" w:cs="Arial"/>
          <w:sz w:val="20"/>
          <w:szCs w:val="20"/>
        </w:rPr>
        <w:t>.000,00 kuna 201</w:t>
      </w:r>
      <w:r w:rsidR="008A69E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godine, </w:t>
      </w:r>
      <w:r w:rsidR="008A69E6">
        <w:rPr>
          <w:rFonts w:ascii="Arial" w:hAnsi="Arial" w:cs="Arial"/>
          <w:sz w:val="20"/>
          <w:szCs w:val="20"/>
        </w:rPr>
        <w:t>4.381</w:t>
      </w:r>
      <w:r>
        <w:rPr>
          <w:rFonts w:ascii="Arial" w:hAnsi="Arial" w:cs="Arial"/>
          <w:sz w:val="20"/>
          <w:szCs w:val="20"/>
        </w:rPr>
        <w:t>.000,00 kuna 201</w:t>
      </w:r>
      <w:r w:rsidR="008A69E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godine i </w:t>
      </w:r>
      <w:r w:rsidR="008A69E6">
        <w:rPr>
          <w:rFonts w:ascii="Arial" w:hAnsi="Arial" w:cs="Arial"/>
          <w:sz w:val="20"/>
          <w:szCs w:val="20"/>
        </w:rPr>
        <w:t>4.381.</w:t>
      </w:r>
      <w:r>
        <w:rPr>
          <w:rFonts w:ascii="Arial" w:hAnsi="Arial" w:cs="Arial"/>
          <w:sz w:val="20"/>
          <w:szCs w:val="20"/>
        </w:rPr>
        <w:t>000,00 kuna 201</w:t>
      </w:r>
      <w:r w:rsidR="008A69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godine s tim da nije predviđena promjena broja zaposlenih.</w:t>
      </w:r>
    </w:p>
    <w:p w:rsidR="008E57B3" w:rsidRDefault="008E57B3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Prihodima iz županijskog proračuna predviđeno je financiranje:</w:t>
      </w:r>
    </w:p>
    <w:p w:rsidR="008E57B3" w:rsidRDefault="008E57B3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Materijalnih rashoda,</w:t>
      </w:r>
    </w:p>
    <w:p w:rsidR="008E57B3" w:rsidRDefault="008E57B3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rashoda za nabavu nefinancijske imovine.</w:t>
      </w:r>
    </w:p>
    <w:p w:rsidR="008A69E6" w:rsidRDefault="008E57B3" w:rsidP="008E57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računu rashoda/izdataka 42 planirana su potrebna sredstva za financiranje </w:t>
      </w:r>
      <w:r w:rsidR="008A69E6">
        <w:rPr>
          <w:rFonts w:ascii="Arial" w:hAnsi="Arial" w:cs="Arial"/>
          <w:sz w:val="20"/>
          <w:szCs w:val="20"/>
        </w:rPr>
        <w:t>dogradnje škole i športske dvorane s namještajem i opremom za grijanje</w:t>
      </w:r>
      <w:r>
        <w:rPr>
          <w:rFonts w:ascii="Arial" w:hAnsi="Arial" w:cs="Arial"/>
          <w:sz w:val="20"/>
          <w:szCs w:val="20"/>
        </w:rPr>
        <w:t xml:space="preserve"> u iznosu od </w:t>
      </w:r>
      <w:r w:rsidR="008A69E6">
        <w:rPr>
          <w:rFonts w:ascii="Arial" w:hAnsi="Arial" w:cs="Arial"/>
          <w:sz w:val="20"/>
          <w:szCs w:val="20"/>
        </w:rPr>
        <w:t>5.177.300,00 kn.</w:t>
      </w:r>
    </w:p>
    <w:p w:rsidR="008E57B3" w:rsidRPr="00674D21" w:rsidRDefault="008E57B3" w:rsidP="008E57B3">
      <w:pPr>
        <w:ind w:left="360"/>
        <w:jc w:val="both"/>
        <w:rPr>
          <w:rFonts w:ascii="Arial" w:hAnsi="Arial" w:cs="Arial"/>
          <w:sz w:val="20"/>
          <w:szCs w:val="20"/>
        </w:rPr>
      </w:pPr>
      <w:r w:rsidRPr="00674D21">
        <w:rPr>
          <w:rFonts w:ascii="Arial" w:hAnsi="Arial" w:cs="Arial"/>
          <w:sz w:val="20"/>
          <w:szCs w:val="20"/>
        </w:rPr>
        <w:t>Prihodi iz državnog proračuna</w:t>
      </w:r>
    </w:p>
    <w:p w:rsidR="008E57B3" w:rsidRDefault="008E57B3" w:rsidP="008E57B3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6B10AB">
        <w:rPr>
          <w:rFonts w:ascii="Arial" w:hAnsi="Arial" w:cs="Arial"/>
          <w:sz w:val="20"/>
          <w:szCs w:val="20"/>
        </w:rPr>
        <w:t xml:space="preserve">Prihodi </w:t>
      </w:r>
      <w:r>
        <w:rPr>
          <w:rFonts w:ascii="Arial" w:hAnsi="Arial" w:cs="Arial"/>
          <w:sz w:val="20"/>
          <w:szCs w:val="20"/>
        </w:rPr>
        <w:t xml:space="preserve">se koriste za financiranje rashoda za zaposlene. Svake godine imamo i izdatak za najmanje jednu pomoć za bolovanje duže od 90 dana i </w:t>
      </w:r>
      <w:r w:rsidR="008A69E6">
        <w:rPr>
          <w:rFonts w:ascii="Arial" w:hAnsi="Arial" w:cs="Arial"/>
          <w:sz w:val="20"/>
          <w:szCs w:val="20"/>
        </w:rPr>
        <w:t>slučaj smrti člana uže obitelji</w:t>
      </w:r>
      <w:r>
        <w:rPr>
          <w:rFonts w:ascii="Arial" w:hAnsi="Arial" w:cs="Arial"/>
          <w:sz w:val="20"/>
          <w:szCs w:val="20"/>
        </w:rPr>
        <w:t>. Imamo i trošak jedne otpremnine za odlaz</w:t>
      </w:r>
      <w:r w:rsidR="008A69E6">
        <w:rPr>
          <w:rFonts w:ascii="Arial" w:hAnsi="Arial" w:cs="Arial"/>
          <w:sz w:val="20"/>
          <w:szCs w:val="20"/>
        </w:rPr>
        <w:t>ak u mirovinu, te isplatu jubilarnih nagrada.</w:t>
      </w:r>
    </w:p>
    <w:p w:rsidR="008E57B3" w:rsidRDefault="008E57B3" w:rsidP="008E57B3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Troškovi prijevoza na rad i s rada za zaposlenike osiguravaju se u državnom proračunu, pa su tako i planirani u skladu s postojećim stanjem zaposlenih u iznosu od oko </w:t>
      </w:r>
      <w:r w:rsidR="008A69E6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0.000,00 kuna godišnje.</w:t>
      </w:r>
    </w:p>
    <w:p w:rsidR="008A69E6" w:rsidRDefault="008A69E6" w:rsidP="008E57B3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Planirana su sredstva za novčane naknade poslodavca zbog nezapošljavanja osoba s invaliditetom.</w:t>
      </w:r>
    </w:p>
    <w:p w:rsidR="008E57B3" w:rsidRPr="00674D21" w:rsidRDefault="008E57B3" w:rsidP="008E57B3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674D21">
        <w:rPr>
          <w:rFonts w:ascii="Arial" w:hAnsi="Arial" w:cs="Arial"/>
          <w:sz w:val="20"/>
          <w:szCs w:val="20"/>
        </w:rPr>
        <w:t>Prihodi od Koprivničko-križevačke županije</w:t>
      </w:r>
    </w:p>
    <w:p w:rsidR="008E57B3" w:rsidRDefault="008E57B3" w:rsidP="008E57B3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Prihodi se koriste za financiranje materijalnih rashoda kao što su rashodi za komunalne usluge (voda, smeće…), rashodi za telefon, platni promet, mjesečne usluge prema ugovorima, troškovi pedagoške dokumentacije, el. </w:t>
      </w:r>
      <w:r w:rsidR="00674D2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nergije, plina, zdravstvenih pregleda zaposlenika i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E57B3" w:rsidRPr="00674D21" w:rsidRDefault="008E57B3" w:rsidP="008E57B3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674D21">
        <w:rPr>
          <w:rFonts w:ascii="Arial" w:hAnsi="Arial" w:cs="Arial"/>
          <w:sz w:val="20"/>
          <w:szCs w:val="20"/>
        </w:rPr>
        <w:t>Prihodi od sufinanciranja</w:t>
      </w:r>
    </w:p>
    <w:p w:rsidR="008E57B3" w:rsidRDefault="008E57B3" w:rsidP="007A46E6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Namjenski prihodi od sufinanciranja obuhvaćaju prihode od uplata roditelja za prehranu u školskoj kuhinji, za osiguranje učenika, uplate Općine za prehranu učenika slabijeg materijalnog stanja, uplate Općine za školu plivanja i za</w:t>
      </w:r>
      <w:r w:rsidR="00674D21">
        <w:rPr>
          <w:rFonts w:ascii="Arial" w:hAnsi="Arial" w:cs="Arial"/>
          <w:sz w:val="20"/>
          <w:szCs w:val="20"/>
        </w:rPr>
        <w:t xml:space="preserve"> tiskanje školskog lista i </w:t>
      </w:r>
      <w:proofErr w:type="spellStart"/>
      <w:r w:rsidR="00674D21">
        <w:rPr>
          <w:rFonts w:ascii="Arial" w:hAnsi="Arial" w:cs="Arial"/>
          <w:sz w:val="20"/>
          <w:szCs w:val="20"/>
        </w:rPr>
        <w:t>sl</w:t>
      </w:r>
      <w:proofErr w:type="spellEnd"/>
      <w:r w:rsidR="00674D21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sredstva HZZ-a za zapošljavanje na stručno usavršavanje osoba  bez zasnivanja radnog odnosa</w:t>
      </w:r>
      <w:r w:rsidR="00674D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sredstva Agencije za obrazovanje za provedbu projekata Županijskih stručnih vijeća (</w:t>
      </w:r>
      <w:r w:rsidR="00674D21">
        <w:rPr>
          <w:rFonts w:ascii="Arial" w:hAnsi="Arial" w:cs="Arial"/>
          <w:sz w:val="20"/>
          <w:szCs w:val="20"/>
        </w:rPr>
        <w:t>informatika</w:t>
      </w:r>
      <w:r>
        <w:rPr>
          <w:rFonts w:ascii="Arial" w:hAnsi="Arial" w:cs="Arial"/>
          <w:sz w:val="20"/>
          <w:szCs w:val="20"/>
        </w:rPr>
        <w:t>,</w:t>
      </w:r>
      <w:r w:rsidR="00674D21">
        <w:rPr>
          <w:rFonts w:ascii="Arial" w:hAnsi="Arial" w:cs="Arial"/>
          <w:sz w:val="20"/>
          <w:szCs w:val="20"/>
        </w:rPr>
        <w:t xml:space="preserve"> razredna nastava</w:t>
      </w:r>
      <w:r>
        <w:rPr>
          <w:rFonts w:ascii="Arial" w:hAnsi="Arial" w:cs="Arial"/>
          <w:sz w:val="20"/>
          <w:szCs w:val="20"/>
        </w:rPr>
        <w:t xml:space="preserve"> i pedago</w:t>
      </w:r>
      <w:r w:rsidR="00674D2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ija), i u potpunosti se za namijenjene svrhe i utroše.</w:t>
      </w:r>
    </w:p>
    <w:p w:rsidR="008E57B3" w:rsidRPr="007A46E6" w:rsidRDefault="008E57B3" w:rsidP="008E57B3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A46E6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Učenike će se poticati na izražavanje kreativnosti, talenata i sposobnosti kroz uključivanje u slobodne aktivnosti, natjecanja, priredbe i druge manifestacije.</w:t>
      </w:r>
    </w:p>
    <w:p w:rsidR="007A46E6" w:rsidRDefault="007A46E6" w:rsidP="007A46E6">
      <w:pPr>
        <w:ind w:firstLine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Poticat će se kvalitetna komunikacija na relacijama profesor-učenik-roditelj, učenik-učenik, učenik-profesor, zaposlenici međusobno kroz zajedničke aktivnosti i druženja.</w:t>
      </w:r>
    </w:p>
    <w:tbl>
      <w:tblPr>
        <w:tblW w:w="8831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134"/>
        <w:gridCol w:w="662"/>
        <w:gridCol w:w="898"/>
        <w:gridCol w:w="850"/>
        <w:gridCol w:w="1276"/>
        <w:gridCol w:w="1276"/>
        <w:gridCol w:w="1052"/>
      </w:tblGrid>
      <w:tr w:rsidR="007A46E6" w:rsidTr="00C716EF">
        <w:trPr>
          <w:trHeight w:val="180"/>
        </w:trPr>
        <w:tc>
          <w:tcPr>
            <w:tcW w:w="1683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34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66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898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50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76" w:type="dxa"/>
          </w:tcPr>
          <w:p w:rsidR="007A46E6" w:rsidRDefault="007A46E6" w:rsidP="007A46E6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2015.</w:t>
            </w:r>
          </w:p>
        </w:tc>
        <w:tc>
          <w:tcPr>
            <w:tcW w:w="1276" w:type="dxa"/>
          </w:tcPr>
          <w:p w:rsidR="007A46E6" w:rsidRDefault="007A46E6" w:rsidP="007A46E6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2016.</w:t>
            </w:r>
          </w:p>
        </w:tc>
        <w:tc>
          <w:tcPr>
            <w:tcW w:w="1052" w:type="dxa"/>
          </w:tcPr>
          <w:p w:rsidR="007A46E6" w:rsidRDefault="007A46E6" w:rsidP="007A46E6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7A46E6" w:rsidRDefault="007A46E6" w:rsidP="007A46E6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</w:t>
            </w:r>
          </w:p>
        </w:tc>
      </w:tr>
      <w:tr w:rsidR="007A46E6" w:rsidTr="00C716EF">
        <w:trPr>
          <w:trHeight w:val="180"/>
        </w:trPr>
        <w:tc>
          <w:tcPr>
            <w:tcW w:w="1683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školskih projekata/priredbi/manifestacija</w:t>
            </w:r>
          </w:p>
          <w:p w:rsidR="007A46E6" w:rsidRDefault="007A46E6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7A46E6" w:rsidRDefault="007A46E6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7A46E6" w:rsidRDefault="007A46E6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Državna </w:t>
            </w:r>
          </w:p>
        </w:tc>
        <w:tc>
          <w:tcPr>
            <w:tcW w:w="1134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898" w:type="dxa"/>
          </w:tcPr>
          <w:p w:rsidR="007A46E6" w:rsidRDefault="007A46E6" w:rsidP="007A46E6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  <w:p w:rsidR="007A46E6" w:rsidRDefault="007A46E6" w:rsidP="00C716EF">
            <w:pPr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                    </w:t>
            </w:r>
          </w:p>
        </w:tc>
        <w:tc>
          <w:tcPr>
            <w:tcW w:w="850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6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A46E6" w:rsidTr="00C716EF">
        <w:trPr>
          <w:trHeight w:val="180"/>
        </w:trPr>
        <w:tc>
          <w:tcPr>
            <w:tcW w:w="1683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manifestacije</w:t>
            </w:r>
          </w:p>
          <w:p w:rsidR="007A46E6" w:rsidRDefault="007A46E6" w:rsidP="007A46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7A46E6" w:rsidRDefault="007A46E6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županijska</w:t>
            </w:r>
          </w:p>
          <w:p w:rsidR="007A46E6" w:rsidRDefault="007A46E6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34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Učenike se potiče na izražavanje kreativnosti, talenata i sposobnosti kroz ovakve </w:t>
            </w:r>
            <w:r>
              <w:rPr>
                <w:sz w:val="18"/>
                <w:szCs w:val="18"/>
              </w:rPr>
              <w:lastRenderedPageBreak/>
              <w:t>aktivnosti</w:t>
            </w:r>
          </w:p>
        </w:tc>
        <w:tc>
          <w:tcPr>
            <w:tcW w:w="66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škola</w:t>
            </w:r>
          </w:p>
        </w:tc>
        <w:tc>
          <w:tcPr>
            <w:tcW w:w="1276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7A46E6" w:rsidRDefault="007A46E6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  <w:p w:rsidR="007A46E6" w:rsidRDefault="007A46E6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A46E6" w:rsidTr="00C716EF">
        <w:trPr>
          <w:trHeight w:val="180"/>
        </w:trPr>
        <w:tc>
          <w:tcPr>
            <w:tcW w:w="1683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Povećanje broja osvojenih mjesta (prva tri) na županijskim/državnim natjecanjima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</w:t>
            </w:r>
          </w:p>
          <w:p w:rsidR="007A46E6" w:rsidRDefault="007A46E6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državno</w:t>
            </w:r>
          </w:p>
        </w:tc>
        <w:tc>
          <w:tcPr>
            <w:tcW w:w="1134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66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plasmana</w:t>
            </w:r>
          </w:p>
        </w:tc>
        <w:tc>
          <w:tcPr>
            <w:tcW w:w="850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124E1A" w:rsidRDefault="00124E1A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6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Slobodne aktivnosti bit će organizirane preko:</w:t>
      </w: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sportska gimnastika-učenici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sportska gimnastika-učenice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atletika - učenice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ŠŠD -nogomet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karate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likovna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botaničari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eko -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globe skupina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mladi planinari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knjižničari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povijesna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pjevački zbor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pripremni orkestar</w:t>
      </w:r>
    </w:p>
    <w:p w:rsidR="007A46E6" w:rsidRPr="00124E1A" w:rsidRDefault="004B557A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club</w:t>
      </w:r>
      <w:proofErr w:type="spellEnd"/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prometna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medijacija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volonteri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dramsko-recitatorska skupina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24E1A">
        <w:rPr>
          <w:rFonts w:ascii="Arial" w:hAnsi="Arial" w:cs="Arial"/>
          <w:sz w:val="20"/>
          <w:szCs w:val="20"/>
        </w:rPr>
        <w:t>podmladak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 crvenog križa</w:t>
      </w:r>
    </w:p>
    <w:p w:rsidR="007A46E6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crkveno pjevanje</w:t>
      </w:r>
    </w:p>
    <w:p w:rsidR="004B557A" w:rsidRPr="00124E1A" w:rsidRDefault="004B557A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 mladih tehničara</w:t>
      </w: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na seminarima, stručnim skupovima te održavati ogledne satove prema programu Stručnih vijeća.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7A46E6" w:rsidRDefault="007A46E6" w:rsidP="00124E1A">
      <w:pPr>
        <w:ind w:left="360"/>
        <w:jc w:val="both"/>
        <w:rPr>
          <w:sz w:val="18"/>
          <w:szCs w:val="18"/>
        </w:rPr>
      </w:pPr>
      <w:r w:rsidRPr="00124E1A">
        <w:rPr>
          <w:rFonts w:ascii="Arial" w:hAnsi="Arial" w:cs="Arial"/>
          <w:sz w:val="20"/>
          <w:szCs w:val="20"/>
        </w:rPr>
        <w:t>Školsku godinu 201</w:t>
      </w:r>
      <w:r w:rsidR="00124E1A">
        <w:rPr>
          <w:rFonts w:ascii="Arial" w:hAnsi="Arial" w:cs="Arial"/>
          <w:sz w:val="20"/>
          <w:szCs w:val="20"/>
        </w:rPr>
        <w:t>3</w:t>
      </w:r>
      <w:r w:rsidRPr="00124E1A">
        <w:rPr>
          <w:rFonts w:ascii="Arial" w:hAnsi="Arial" w:cs="Arial"/>
          <w:sz w:val="20"/>
          <w:szCs w:val="20"/>
        </w:rPr>
        <w:t>./201</w:t>
      </w:r>
      <w:r w:rsidR="00124E1A">
        <w:rPr>
          <w:rFonts w:ascii="Arial" w:hAnsi="Arial" w:cs="Arial"/>
          <w:sz w:val="20"/>
          <w:szCs w:val="20"/>
        </w:rPr>
        <w:t>4</w:t>
      </w:r>
      <w:r w:rsidRPr="00124E1A">
        <w:rPr>
          <w:rFonts w:ascii="Arial" w:hAnsi="Arial" w:cs="Arial"/>
          <w:sz w:val="20"/>
          <w:szCs w:val="20"/>
        </w:rPr>
        <w:t xml:space="preserve">. završili su svi </w:t>
      </w:r>
      <w:proofErr w:type="spellStart"/>
      <w:r w:rsidRPr="00124E1A">
        <w:rPr>
          <w:rFonts w:ascii="Arial" w:hAnsi="Arial" w:cs="Arial"/>
          <w:sz w:val="20"/>
          <w:szCs w:val="20"/>
        </w:rPr>
        <w:t>učenici.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. </w:t>
      </w:r>
      <w:r>
        <w:rPr>
          <w:sz w:val="18"/>
          <w:szCs w:val="18"/>
        </w:rPr>
        <w:t xml:space="preserve">                                                                      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124E1A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24E1A">
        <w:rPr>
          <w:rFonts w:ascii="Arial" w:hAnsi="Arial" w:cs="Arial"/>
          <w:sz w:val="20"/>
          <w:szCs w:val="20"/>
        </w:rPr>
        <w:t>Sokolovcu</w:t>
      </w:r>
      <w:proofErr w:type="spellEnd"/>
      <w:r w:rsidRPr="00124E1A">
        <w:rPr>
          <w:rFonts w:ascii="Arial" w:hAnsi="Arial" w:cs="Arial"/>
          <w:sz w:val="20"/>
          <w:szCs w:val="20"/>
        </w:rPr>
        <w:t>, 1</w:t>
      </w:r>
      <w:r w:rsidR="00124E1A">
        <w:rPr>
          <w:rFonts w:ascii="Arial" w:hAnsi="Arial" w:cs="Arial"/>
          <w:sz w:val="20"/>
          <w:szCs w:val="20"/>
        </w:rPr>
        <w:t>0</w:t>
      </w:r>
      <w:r w:rsidRPr="00124E1A">
        <w:rPr>
          <w:rFonts w:ascii="Arial" w:hAnsi="Arial" w:cs="Arial"/>
          <w:sz w:val="20"/>
          <w:szCs w:val="20"/>
        </w:rPr>
        <w:t>.12.201</w:t>
      </w:r>
      <w:r w:rsidR="00124E1A">
        <w:rPr>
          <w:rFonts w:ascii="Arial" w:hAnsi="Arial" w:cs="Arial"/>
          <w:sz w:val="20"/>
          <w:szCs w:val="20"/>
        </w:rPr>
        <w:t>4</w:t>
      </w:r>
      <w:r w:rsidRPr="00124E1A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 xml:space="preserve">Jasenka </w:t>
      </w:r>
      <w:proofErr w:type="spellStart"/>
      <w:r w:rsidR="00124E1A">
        <w:rPr>
          <w:rFonts w:ascii="Arial" w:hAnsi="Arial" w:cs="Arial"/>
          <w:sz w:val="20"/>
          <w:szCs w:val="20"/>
        </w:rPr>
        <w:t>Bedenek</w:t>
      </w:r>
      <w:proofErr w:type="spellEnd"/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>Ravnatelj:                                                                                                                                          SAŠA KORKUT,</w:t>
      </w:r>
      <w:proofErr w:type="spellStart"/>
      <w:r w:rsidRPr="00124E1A">
        <w:rPr>
          <w:rFonts w:ascii="Arial" w:hAnsi="Arial" w:cs="Arial"/>
          <w:sz w:val="20"/>
          <w:szCs w:val="20"/>
        </w:rPr>
        <w:t>prof</w:t>
      </w:r>
      <w:proofErr w:type="spellEnd"/>
      <w:r w:rsidRPr="00124E1A">
        <w:rPr>
          <w:rFonts w:ascii="Arial" w:hAnsi="Arial" w:cs="Arial"/>
          <w:sz w:val="20"/>
          <w:szCs w:val="20"/>
        </w:rPr>
        <w:t>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74" w:rsidRDefault="00884274" w:rsidP="003571E9">
      <w:pPr>
        <w:spacing w:after="0" w:line="240" w:lineRule="auto"/>
      </w:pPr>
      <w:r>
        <w:separator/>
      </w:r>
    </w:p>
  </w:endnote>
  <w:endnote w:type="continuationSeparator" w:id="0">
    <w:p w:rsidR="00884274" w:rsidRDefault="00884274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E37503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884274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E37503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4B557A">
      <w:rPr>
        <w:noProof/>
      </w:rPr>
      <w:t>1</w:t>
    </w:r>
    <w:r>
      <w:fldChar w:fldCharType="end"/>
    </w:r>
  </w:p>
  <w:p w:rsidR="006477E0" w:rsidRDefault="00884274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74" w:rsidRDefault="00884274" w:rsidP="003571E9">
      <w:pPr>
        <w:spacing w:after="0" w:line="240" w:lineRule="auto"/>
      </w:pPr>
      <w:r>
        <w:separator/>
      </w:r>
    </w:p>
  </w:footnote>
  <w:footnote w:type="continuationSeparator" w:id="0">
    <w:p w:rsidR="00884274" w:rsidRDefault="00884274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124E1A"/>
    <w:rsid w:val="003571E9"/>
    <w:rsid w:val="00460963"/>
    <w:rsid w:val="004B557A"/>
    <w:rsid w:val="004C3901"/>
    <w:rsid w:val="00674D21"/>
    <w:rsid w:val="006F3B31"/>
    <w:rsid w:val="007A46E6"/>
    <w:rsid w:val="007F7A92"/>
    <w:rsid w:val="00884274"/>
    <w:rsid w:val="008A51F0"/>
    <w:rsid w:val="008A69E6"/>
    <w:rsid w:val="008E57B3"/>
    <w:rsid w:val="00927CC4"/>
    <w:rsid w:val="00A04C18"/>
    <w:rsid w:val="00A77ABB"/>
    <w:rsid w:val="00AA7DDF"/>
    <w:rsid w:val="00BC2102"/>
    <w:rsid w:val="00BF1F54"/>
    <w:rsid w:val="00C377DB"/>
    <w:rsid w:val="00C804B8"/>
    <w:rsid w:val="00CA71F7"/>
    <w:rsid w:val="00DF6787"/>
    <w:rsid w:val="00E37503"/>
    <w:rsid w:val="00FE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dcterms:created xsi:type="dcterms:W3CDTF">2014-12-12T13:11:00Z</dcterms:created>
  <dcterms:modified xsi:type="dcterms:W3CDTF">2014-12-18T07:23:00Z</dcterms:modified>
</cp:coreProperties>
</file>