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MINISTARSTVO ZNANOSTI, OBRAZOVANJA I SPORTA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Na temelju članka 22., stavka 8. </w:t>
      </w:r>
      <w:hyperlink r:id="rId5" w:history="1">
        <w:r w:rsidRPr="00DC6E00">
          <w:rPr>
            <w:rFonts w:ascii="Arial" w:eastAsia="Times New Roman" w:hAnsi="Arial" w:cs="Arial"/>
            <w:b/>
            <w:bCs/>
            <w:color w:val="497FD7"/>
            <w:sz w:val="15"/>
            <w:u w:val="single"/>
            <w:lang w:eastAsia="hr-HR"/>
          </w:rPr>
          <w:t>Zakona o odgoju i obrazovanju u osnovnoj i srednjoj školi</w:t>
        </w:r>
      </w:hyperlink>
      <w:r w:rsidRPr="00DC6E00">
        <w:rPr>
          <w:rFonts w:ascii="Arial" w:eastAsia="Times New Roman" w:hAnsi="Arial" w:cs="Arial"/>
          <w:color w:val="414145"/>
          <w:sz w:val="15"/>
          <w:szCs w:val="15"/>
          <w:lang w:eastAsia="hr-HR"/>
        </w:rPr>
        <w:t> (»Narodne novine«, br. 87/2008., 86/2009., 92/2010., 105/2010., 90/2011., 16/2012., 86/2012., 94/2013. i 152/2014.) ministar znanosti, obrazovanja i sporta donosi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spacing w:before="284" w:after="65" w:line="403" w:lineRule="atLeast"/>
        <w:jc w:val="center"/>
        <w:outlineLvl w:val="2"/>
        <w:rPr>
          <w:rFonts w:ascii="Arial" w:eastAsia="Times New Roman" w:hAnsi="Arial" w:cs="Arial"/>
          <w:b/>
          <w:bCs/>
          <w:caps/>
          <w:color w:val="414145"/>
          <w:sz w:val="27"/>
          <w:szCs w:val="27"/>
          <w:lang w:eastAsia="hr-HR"/>
        </w:rPr>
      </w:pPr>
      <w:r w:rsidRPr="00DC6E00">
        <w:rPr>
          <w:rFonts w:ascii="Arial" w:eastAsia="Times New Roman" w:hAnsi="Arial" w:cs="Arial"/>
          <w:b/>
          <w:bCs/>
          <w:caps/>
          <w:color w:val="414145"/>
          <w:sz w:val="27"/>
          <w:szCs w:val="27"/>
          <w:lang w:eastAsia="hr-HR"/>
        </w:rPr>
        <w:t>PRAVILNIK O ELEMENTIMA I KRITERIJIMA ZA IZBOR KANDIDATA ZA UPIS U I. RAZRED SREDNJE ŠKOLE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Pročišćeni tekst</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NN </w:t>
      </w:r>
      <w:hyperlink r:id="rId6" w:history="1">
        <w:r w:rsidRPr="00DC6E00">
          <w:rPr>
            <w:rFonts w:ascii="Arial" w:eastAsia="Times New Roman" w:hAnsi="Arial" w:cs="Arial"/>
            <w:b/>
            <w:bCs/>
            <w:color w:val="497FD7"/>
            <w:sz w:val="15"/>
            <w:u w:val="single"/>
            <w:lang w:eastAsia="hr-HR"/>
          </w:rPr>
          <w:t>49/15</w:t>
        </w:r>
      </w:hyperlink>
      <w:r w:rsidRPr="00DC6E00">
        <w:rPr>
          <w:rFonts w:ascii="Arial" w:eastAsia="Times New Roman" w:hAnsi="Arial" w:cs="Arial"/>
          <w:color w:val="414145"/>
          <w:sz w:val="15"/>
          <w:szCs w:val="15"/>
          <w:lang w:eastAsia="hr-HR"/>
        </w:rPr>
        <w:t>, </w:t>
      </w:r>
      <w:hyperlink r:id="rId7" w:history="1">
        <w:r w:rsidRPr="00DC6E00">
          <w:rPr>
            <w:rFonts w:ascii="Arial" w:eastAsia="Times New Roman" w:hAnsi="Arial" w:cs="Arial"/>
            <w:b/>
            <w:bCs/>
            <w:color w:val="497FD7"/>
            <w:sz w:val="15"/>
            <w:u w:val="single"/>
            <w:lang w:eastAsia="hr-HR"/>
          </w:rPr>
          <w:t>109/16</w:t>
        </w:r>
      </w:hyperlink>
      <w:r w:rsidRPr="00DC6E00">
        <w:rPr>
          <w:rFonts w:ascii="Arial" w:eastAsia="Times New Roman" w:hAnsi="Arial" w:cs="Arial"/>
          <w:color w:val="414145"/>
          <w:sz w:val="15"/>
          <w:szCs w:val="15"/>
          <w:lang w:eastAsia="hr-HR"/>
        </w:rPr>
        <w:t>, </w:t>
      </w:r>
      <w:hyperlink r:id="rId8" w:history="1">
        <w:r w:rsidRPr="00DC6E00">
          <w:rPr>
            <w:rFonts w:ascii="Arial" w:eastAsia="Times New Roman" w:hAnsi="Arial" w:cs="Arial"/>
            <w:b/>
            <w:bCs/>
            <w:color w:val="497FD7"/>
            <w:sz w:val="15"/>
            <w:u w:val="single"/>
            <w:lang w:eastAsia="hr-HR"/>
          </w:rPr>
          <w:t>47/17</w:t>
        </w:r>
      </w:hyperlink>
      <w:r w:rsidRPr="00DC6E00">
        <w:rPr>
          <w:rFonts w:ascii="Arial" w:eastAsia="Times New Roman" w:hAnsi="Arial" w:cs="Arial"/>
          <w:color w:val="414145"/>
          <w:sz w:val="15"/>
          <w:szCs w:val="15"/>
          <w:lang w:eastAsia="hr-HR"/>
        </w:rPr>
        <w:t>, </w:t>
      </w:r>
      <w:hyperlink r:id="rId9" w:history="1">
        <w:r w:rsidRPr="00DC6E00">
          <w:rPr>
            <w:rFonts w:ascii="Arial" w:eastAsia="Times New Roman" w:hAnsi="Arial" w:cs="Arial"/>
            <w:b/>
            <w:bCs/>
            <w:color w:val="497FD7"/>
            <w:sz w:val="15"/>
            <w:u w:val="single"/>
            <w:lang w:eastAsia="hr-HR"/>
          </w:rPr>
          <w:t>39/22</w:t>
        </w:r>
      </w:hyperlink>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 OPĆE ODREDBE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Ovim pravilnikom utvrđuju se zajednički, dodatni i posebni elementi i kriteriji za izbor kandidata za upis u I. razred srednje škole u Republici Hrvatskoj.</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Izrazi koji se koriste u ovom pravilniku, a koji imaju rodno značenje, bez obzira na to jesu li korišteni u muškome ili ženskome rodu, obuhvaćaju na jednak način i muški i ženski rod.</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Pod jednakim uvjetima u srednje škole upisuju se kandidati hrvatski državljani, Hrvati iz drugih država te djeca državljana iz država članica Europske unije.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Dobne granice za upis kandidata u pojedine programe srednjega umjetničkog obrazovanja propisane su zakonom koji uređuje umjetničko obrazovanje.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Prijave i upis kandidata u prve razrede srednjih škola provode se putem Nacionalnog informacijskog sustava prijava i upisa u srednje škole (</w:t>
      </w:r>
      <w:proofErr w:type="spellStart"/>
      <w:r w:rsidRPr="00DC6E00">
        <w:rPr>
          <w:rFonts w:ascii="Arial" w:eastAsia="Times New Roman" w:hAnsi="Arial" w:cs="Arial"/>
          <w:color w:val="414145"/>
          <w:sz w:val="15"/>
          <w:szCs w:val="15"/>
          <w:lang w:eastAsia="hr-HR"/>
        </w:rPr>
        <w:t>NISpuSŠ</w:t>
      </w:r>
      <w:proofErr w:type="spellEnd"/>
      <w:r w:rsidRPr="00DC6E00">
        <w:rPr>
          <w:rFonts w:ascii="Arial" w:eastAsia="Times New Roman" w:hAnsi="Arial" w:cs="Arial"/>
          <w:color w:val="414145"/>
          <w:sz w:val="15"/>
          <w:szCs w:val="15"/>
          <w:lang w:eastAsia="hr-HR"/>
        </w:rPr>
        <w:t>), osim u posebnim slučajevima propisanim odlukom o upisu iz stavka 1. ovoga članka.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(6) U svakome upisnom roku kandidat može prijaviti najviše 6 odabira programa obrazovanja.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3. (NN </w:t>
      </w:r>
      <w:hyperlink r:id="rId10"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 koji je strani državljanin iz zemlje izvan Europskog gospodarskog prostora i Švicarske Konfederacije može se upisati u srednju školu kao redoviti učenik bez plaćanja troškova školovanja ako ispunjava jedan od sljedećih uvjeta: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ako za to postoji međudržavni ugovor ili osoba sudjeluje u priznatom državnom ili regionalnom obrazovnom programu razmjene učenika koje je odobrilo ministarstvo nadležno za obrazovanje ili u obrazovnom projektu koji vodi obrazovna ustanova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ako je roditelj ili skrbnik te osobe diplomatski predstavnik strane države u Hrvatskoj;</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ako je takva osoba ili roditelj ili skrbnik te osobe azilant ili tražitelj međunarodne zaštite;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ako je takva osoba ili roditelj ili skrbnik te osobe stranac pod supsidijarnom zaštitom ili stranac pod privremenom zaštitom.</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Odluku o godišnjim troškovima školovanja učenika iz stavka 2. ovoga članka donosi osnivač školske ustanove na prijedlog školskoga odbora.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Iznimno od stavka 2. ovoga članka, osnivač može, na prijedlog školskoga odbora, donijeti odluku kojom učenika oslobađa obveze plaćanja troškova školarine.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4.</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Provjeru znanja iz stavka 1. ovoga članka provodi stručno povjerenstvo srednje škole u koju se kandidat upisuje, o čemu sastavlja zapisnik.</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Provjeru znanja iz stavka 1. ovoga članka kandidat polaže u jednoj školi i rezultati provjere vrijede za prijavu u druge škole koje uvjetuju znanje istoga stranog jezika.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5. (NN </w:t>
      </w:r>
      <w:hyperlink r:id="rId11"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Elementi i kriteriji za upis kandidata u I. razred srednje škole propisani ovim pravilnikom koriste se i za upis u međunarodne programe.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Odluku o troškovima školovanja u međunarodnim programima donosi školski odbor uz suglasnost osnivača.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Za upis u međunarodne programe može se provoditi provjera znanja koju propisuje i provodi škola, osim za kandidate iz stavka 2. ovoga članka.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Provjera znanja iz stavka 4. ovoga članka nije eliminacijska.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II. ELEMENTI VREDNOVANJA I UTVRĐIVANJE UKUPNOGA REZULTATA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6. (NN </w:t>
      </w:r>
      <w:hyperlink r:id="rId12"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Za upis u I. razred srednje škole prijavljenom kandidatu vrednuju se zajednički, dodatan i poseban element.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Ako dva ili više kandidata na zadnjem mjestu ljestvice poretka imaju isti ukupan broj bodova na temelju stavka 2. i 3. ovoga članka, kandidati se upisuju u skladu s člancima 9., 10., 11., 12. i 14. ovoga Pravilnika.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Ako dva ili više kandidata na zadnjem mjestu ljestvice poretka imaju isti ukupan broj bodova na temelju stavaka 2., 3. i 4. ovoga članka upisuje se kandidat koji ostvaruje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xml:space="preserve">(6) Iznimno od stavka 5. ovoga članka, ako dva ili više kandidata na zadnjem mjestu ljestvice poretka imaju isti ukupan broj bodova na temelju stavaka 2., 3. i 4. ovoga članka i ostvaruju pravo na poseban element vrednovanja upisuju se svi </w:t>
      </w:r>
      <w:proofErr w:type="spellStart"/>
      <w:r w:rsidRPr="00DC6E00">
        <w:rPr>
          <w:rFonts w:ascii="Arial" w:eastAsia="Times New Roman" w:hAnsi="Arial" w:cs="Arial"/>
          <w:color w:val="414145"/>
          <w:sz w:val="15"/>
          <w:szCs w:val="15"/>
          <w:lang w:eastAsia="hr-HR"/>
        </w:rPr>
        <w:t>kandidati.</w:t>
      </w:r>
      <w:proofErr w:type="spellEnd"/>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III. ZAJEDNIČKI ELEMENT VREDNOVANJA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7.</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Zajednički element vrednovanja za upis kandidata u sve srednjoškolske programe obrazovanja čine prosjeci zaključnih ocjena iz svih nastavnih predmeta na dvije decimale u posljednja četiri razreda osnovnog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Na takav način moguće je steći najviše 20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Za upis kandidata u programe obrazovanja za stjecanje strukovne kvalifikacije u trajanju manjem od tri godine vrednuje se zajednički element iz stavka 1. ovoga članka.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Na takav način moguće je steći najviše 50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Na takav način moguće je steći najviše 80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IV. DODATNI ELEMENT VREDNOVANJA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8.</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Dodatni element vrednovanja čine sposobnosti, darovitosti i znanja kandidata.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Sposobnosti, darovitosti i znanja kandidata dokazuju se i vrednuju: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na osnovi provjere (ispitivanja) posebnih znanja, vještina, sposobnosti i darovitosti;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na osnovi rezultata postignutih na natjecanjima u znanju;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na osnovi rezultata postignutih na natjecanjima školskih sportskih društava.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Provjera posebnih znanja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9. (NN </w:t>
      </w:r>
      <w:hyperlink r:id="rId13"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Brisan</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provedbu provjere iz stavka 1. ovoga članka srednje škole moraju Ministarstvu uputiti zahtjev te ishoditi suglasnost.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Zahtjev za suglasnost iz stavka 3. ovoga članka srednje škole dostavljaju Ministarstvu najkasnije do 31. ožujka tekuće školske godine, a za upis u narednu školsku godinu.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Na temelju provjera iz stavka 1. ovoga članka kandidat može ostvariti najviše 10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(6) Provjera iz stavka 1. ovoga članka nije eliminacijska.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(7) Ako dva ili više kandidata na zadnjem mjestu ljestvice poretka imaju isti ukupan broj bodova iz zajedničko i dodatnog elementa vrednovanja upisuje se onaj kandidat koji je ostvario veći broj bodova iz provjere posebnih znanja.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(10) Kandidati s teškoćama u razvoju koji imaju rješenje o primjerenome programu obrazovanja, a koji pristupaju provjeri posebnih znanja iz stavka 1. ovoga članka, imaju pravo na prilagodbu ispitne tehnologije.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radi upisa u programe likovne umjetnosti i dizajna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10. (NN </w:t>
      </w:r>
      <w:hyperlink r:id="rId14"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Konačna ljestvica poretka kandidata utvrđuje se zbrajanjem bodova dobivenih provjerom darovitosti za likovno izražavanje i zajedničkog i dodatnog elementa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Ako dva ili više kandidata na zadnjem mjestu ljestvice poretka imaju isti ukupan broj bodova, upisuje se onaj kandidat koji je ostvario veći broj bodova iz provjere darovitosti za likovno izražavanje.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radi upisa u programe glazbene umjetnosti</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11. (NN </w:t>
      </w:r>
      <w:hyperlink r:id="rId15"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Kandidatu koji je uspješno završio osnovno glazbeno obrazovanje ili drugi (II.) pripremni razred srednje glazbene škole za upis u I. razred četverogodišnjega srednjega glazbenog programa vrednuju se: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zajednički i dodatni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postignuti opći uspjeh iz petoga i šestoga razreda glazbene škole ili dva razreda pripremnoga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konačni rezultati ostvareni na prijamnome ispitu glazbene darovitosti.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xml:space="preserve">(3) Ako dva ili više kandidata na zadnjem mjestu ljestvice </w:t>
      </w:r>
      <w:proofErr w:type="spellStart"/>
      <w:r w:rsidRPr="00DC6E00">
        <w:rPr>
          <w:rFonts w:ascii="Arial" w:eastAsia="Times New Roman" w:hAnsi="Arial" w:cs="Arial"/>
          <w:color w:val="414145"/>
          <w:sz w:val="15"/>
          <w:szCs w:val="15"/>
          <w:lang w:eastAsia="hr-HR"/>
        </w:rPr>
        <w:t>poretkaimaju</w:t>
      </w:r>
      <w:proofErr w:type="spellEnd"/>
      <w:r w:rsidRPr="00DC6E00">
        <w:rPr>
          <w:rFonts w:ascii="Arial" w:eastAsia="Times New Roman" w:hAnsi="Arial" w:cs="Arial"/>
          <w:color w:val="414145"/>
          <w:sz w:val="15"/>
          <w:szCs w:val="15"/>
          <w:lang w:eastAsia="hr-HR"/>
        </w:rPr>
        <w:t xml:space="preserve"> isti ukupan broj bodova, upisuje se onaj kandidat koji je ostvario veći broj bodova na prijamnome ispitu glazbene darovitosti.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za upis u programe plesne umjetnosti</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12. (NN </w:t>
      </w:r>
      <w:hyperlink r:id="rId16"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Kandidatu koji je uspješno završio osnovno plesno odnosno baletno obrazovanje ili pripremni razred srednje plesne škole za upis u I. razred četverogodišnjega srednjega plesnog programa vrednuju se: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zajednički i dodatni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opći uspjeh iz četvrtoga razreda plesne odnosno baletne škole ili uspjeh iz pripremnoga razreda;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konačni rezultati ostvareni na prijamnome ispitu plesne darovitosti koji uključuje uspjeh iz glavnih plesnih predmeta koje utvrđuje škola i objavljuje u sklopu natječaja za upis.</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Na temelju prijamnoga ispita moguće je steći najviše 115 bodova, a minimalni prag na prijamnome ispitu je 70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Ako dva ili više kandidata na zadnjem mjestu ljestvice poretka imaju isti ukupan broj bodova, upisuje se onaj kandidat koji je ostvario veći broj bodova na prijamnome ispitu plesne darovitosti.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(6) Kandidat koji nije pohađao osnovnu plesnu školu upisuje pripremni razred srednje plesne škole nakon položenoga prijamnog ispita plesne darovitosti. Na prijamnome ispitu može se ostvariti najviše 120 bodova, a minimalni prag je 70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iznimno darovitih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13.</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za upis u razredne odjele za sportaše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14. (NN </w:t>
      </w:r>
      <w:hyperlink r:id="rId17"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Pravo prijave za upis u razredne odjele za sportaše ima kandidat koji je uvršten na rang-listu određenoga nacionalnoga sportskoga saveza.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Bodovanje za upis kandidata u I. razred razrednih odjela za sportaše provodi se na sljedeći način:</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maksimalan broj bodova koje kandidat za upis u ove programe može ostvariti na temelju kriterija sportske uspješnosti i uspjeha u prethodnom obrazovanju je 160;</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od navedenoga maksimalnog broja bodova, do 80 bodova kandidat ostvaruje na temelju kriterija sportske uspješnosti, prema izračunu opisanome u stavku 5. ovoga članka;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daljnjih najviše 80 bodova kandidat ostvaruje na temelju zajedničkoga elementa vrednovanja uspjeha u prethodnom školovanju.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Konačna ljestvica poretka kandidata utvrđuje se zbrajanjem bodova dobivenih prema kriterijima sportske uspješnosti te zajedničkog i dodatnog elementa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Izračun broja bodova kandidata prema kriterijima sportske uspješnosti uzima u obzir sljedeće parametre: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položaj pojedinoga kandidata na rang-listi matičnoga nacionalnoga sportskog saveza;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ukupan broj kandidata na rang-listi matičnoga nacionalnoga sportskog saveza;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skupina u koju je pojedini sport razvrstan, sukladno odluci Povjerenstva za upis učenika u I. razred srednje škole u tekućoj školskoj godini za razredne odjele za sportaše.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rang-liste kandidata za svaki nacionalni sportski savez jedinstvene su u smislu da obuhvaćaju i ženske i muške kandidate.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Izračun broja bodova prema kriteriju sportske uspješnosti obavljat će se prema sljedećim izračunima:</w:t>
      </w:r>
    </w:p>
    <w:p w:rsidR="00DC6E00" w:rsidRPr="00DC6E00" w:rsidRDefault="00DC6E00" w:rsidP="00DC6E00">
      <w:pPr>
        <w:spacing w:after="0" w:line="240" w:lineRule="auto"/>
        <w:rPr>
          <w:rFonts w:ascii="Arial" w:eastAsia="Times New Roman" w:hAnsi="Arial" w:cs="Arial"/>
          <w:color w:val="414145"/>
          <w:sz w:val="15"/>
          <w:szCs w:val="15"/>
          <w:lang w:eastAsia="hr-HR"/>
        </w:rPr>
      </w:pPr>
      <w:r>
        <w:rPr>
          <w:rFonts w:ascii="Arial" w:eastAsia="Times New Roman" w:hAnsi="Arial" w:cs="Arial"/>
          <w:noProof/>
          <w:color w:val="414145"/>
          <w:sz w:val="15"/>
          <w:szCs w:val="15"/>
          <w:lang w:eastAsia="hr-HR"/>
        </w:rPr>
        <w:drawing>
          <wp:inline distT="0" distB="0" distL="0" distR="0">
            <wp:extent cx="4759325" cy="1226185"/>
            <wp:effectExtent l="19050" t="0" r="3175" b="0"/>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18" cstate="print"/>
                    <a:srcRect/>
                    <a:stretch>
                      <a:fillRect/>
                    </a:stretch>
                  </pic:blipFill>
                  <pic:spPr bwMode="auto">
                    <a:xfrm>
                      <a:off x="0" y="0"/>
                      <a:ext cx="4759325" cy="1226185"/>
                    </a:xfrm>
                    <a:prstGeom prst="rect">
                      <a:avLst/>
                    </a:prstGeom>
                    <a:noFill/>
                    <a:ln w="9525">
                      <a:noFill/>
                      <a:miter lim="800000"/>
                      <a:headEnd/>
                      <a:tailEnd/>
                    </a:ln>
                  </pic:spPr>
                </pic:pic>
              </a:graphicData>
            </a:graphic>
          </wp:inline>
        </w:drawing>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gdje 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b                  konačan broj bodova pojedinačnoga kandidata na temelju kriterija sportske uspješnosti;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N[S]             ukupan broj svih kandidata na rang-listi nacionalnoga saveza za sport S;</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n                  mjesto u poretku pojedinačnoga kandidata na rang--listi odgovarajućega nacionalnog saveza;</w:t>
      </w:r>
    </w:p>
    <w:p w:rsidR="00DC6E00" w:rsidRPr="00DC6E00" w:rsidRDefault="00DC6E00" w:rsidP="00DC6E00">
      <w:pPr>
        <w:spacing w:after="98" w:line="240" w:lineRule="auto"/>
        <w:rPr>
          <w:rFonts w:ascii="Arial" w:eastAsia="Times New Roman" w:hAnsi="Arial" w:cs="Arial"/>
          <w:color w:val="414145"/>
          <w:sz w:val="15"/>
          <w:szCs w:val="15"/>
          <w:lang w:eastAsia="hr-HR"/>
        </w:rPr>
      </w:pPr>
      <w:proofErr w:type="spellStart"/>
      <w:r w:rsidRPr="00DC6E00">
        <w:rPr>
          <w:rFonts w:ascii="Arial" w:eastAsia="Times New Roman" w:hAnsi="Arial" w:cs="Arial"/>
          <w:color w:val="414145"/>
          <w:sz w:val="15"/>
          <w:szCs w:val="15"/>
          <w:lang w:eastAsia="hr-HR"/>
        </w:rPr>
        <w:t>Bmin</w:t>
      </w:r>
      <w:proofErr w:type="spellEnd"/>
      <w:r w:rsidRPr="00DC6E00">
        <w:rPr>
          <w:rFonts w:ascii="Arial" w:eastAsia="Times New Roman" w:hAnsi="Arial" w:cs="Arial"/>
          <w:color w:val="414145"/>
          <w:sz w:val="15"/>
          <w:szCs w:val="15"/>
          <w:lang w:eastAsia="hr-HR"/>
        </w:rPr>
        <w:t>            minimalan broj bodova za kandidate s rang-liste nacionalnoga saveza – smatra se da ga je kandidat                     automatski ostvario samim uvrštenjem na   rang-listu saveza – isti je za sve skupine sportova te iznosi 56 bodova;</w:t>
      </w:r>
    </w:p>
    <w:p w:rsidR="00DC6E00" w:rsidRPr="00DC6E00" w:rsidRDefault="00DC6E00" w:rsidP="00DC6E00">
      <w:pPr>
        <w:spacing w:after="98" w:line="240" w:lineRule="auto"/>
        <w:rPr>
          <w:rFonts w:ascii="Arial" w:eastAsia="Times New Roman" w:hAnsi="Arial" w:cs="Arial"/>
          <w:color w:val="414145"/>
          <w:sz w:val="15"/>
          <w:szCs w:val="15"/>
          <w:lang w:eastAsia="hr-HR"/>
        </w:rPr>
      </w:pPr>
      <w:proofErr w:type="spellStart"/>
      <w:r w:rsidRPr="00DC6E00">
        <w:rPr>
          <w:rFonts w:ascii="Arial" w:eastAsia="Times New Roman" w:hAnsi="Arial" w:cs="Arial"/>
          <w:color w:val="414145"/>
          <w:sz w:val="15"/>
          <w:szCs w:val="15"/>
          <w:lang w:eastAsia="hr-HR"/>
        </w:rPr>
        <w:t>Bmax</w:t>
      </w:r>
      <w:proofErr w:type="spellEnd"/>
      <w:r w:rsidRPr="00DC6E00">
        <w:rPr>
          <w:rFonts w:ascii="Arial" w:eastAsia="Times New Roman" w:hAnsi="Arial" w:cs="Arial"/>
          <w:color w:val="414145"/>
          <w:sz w:val="15"/>
          <w:szCs w:val="15"/>
          <w:lang w:eastAsia="hr-HR"/>
        </w:rPr>
        <w:t>[X]      maksimalan broj bodova za kandidate s rang-liste nacionalnoga saveza sporta iz skupine X – za prvu skupinu                     sportova (X = 1) iznosi 80 bodova, za drugu (X = 2) 72 boda, za treću (X = 3) 64 bodova;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xml:space="preserve">M[X]            najveći dopušteni ukupan broj kandidata s brojem bodova većim od </w:t>
      </w:r>
      <w:proofErr w:type="spellStart"/>
      <w:r w:rsidRPr="00DC6E00">
        <w:rPr>
          <w:rFonts w:ascii="Arial" w:eastAsia="Times New Roman" w:hAnsi="Arial" w:cs="Arial"/>
          <w:color w:val="414145"/>
          <w:sz w:val="15"/>
          <w:szCs w:val="15"/>
          <w:lang w:eastAsia="hr-HR"/>
        </w:rPr>
        <w:t>Bmin</w:t>
      </w:r>
      <w:proofErr w:type="spellEnd"/>
      <w:r w:rsidRPr="00DC6E00">
        <w:rPr>
          <w:rFonts w:ascii="Arial" w:eastAsia="Times New Roman" w:hAnsi="Arial" w:cs="Arial"/>
          <w:color w:val="414145"/>
          <w:sz w:val="15"/>
          <w:szCs w:val="15"/>
          <w:lang w:eastAsia="hr-HR"/>
        </w:rPr>
        <w:t xml:space="preserve"> za kandidate s rang-liste                     nacionalnoga saveza za sport iz skupine X – za prvu skupinu sportova (X = 1) iznosi 24 kandidata, za drugu                    (X = 2) 16 kandidata, za treću (X = 3) 8 kandidata.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(6) Ako dva ili više kandidata na zadnjem mjestu ljestvice poretka imaju isti ukupan broj bodova iz zajedničko i dodatnog elementa vrednovanja upisuje se onaj kandidat koji je ostvario veći broj bodova iz kriterija sportske uspješnosti.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rezultata kandidata postignutih na natjecanjima iz znanja i u sportu</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15.</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Kandidatu se na osnovi članaka 16. i 17. ovoga pravilnika vrednuje isključivo jedno (najpovoljnije) postignuće.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rezultata kandidata postignutih na natjecanjima iz znanja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16.</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Pravo na izravan upis ili dodatne bodove ostvaruju kandidati na osnovi rezultata koje su postigli na: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natjecanjima u znanju iz nastavnih predmeta: Hrvatskoga jezika, Matematike, prvoga stranog jezika;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natjecanjima u znanju iz dvaju nastavnih predmeta posebno značajnih za upis u skladu s Popisom predmeta posebno važnih za upis;</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tblPr>
      <w:tblGrid>
        <w:gridCol w:w="2547"/>
        <w:gridCol w:w="3218"/>
        <w:gridCol w:w="3437"/>
      </w:tblGrid>
      <w:tr w:rsidR="00DC6E00" w:rsidRPr="00DC6E00" w:rsidTr="00DC6E00">
        <w:tc>
          <w:tcPr>
            <w:tcW w:w="0" w:type="auto"/>
            <w:vMerge w:val="restart"/>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Državna/međunarodna natjecanja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Prvo, drugo ili treće osvojeno mjesto kao pojedinac u 5., 6., 7. ili 8. razredu osnovnog obrazovanja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Izravan upis (pod uvjetom da zadovolje na ispitu sposobnosti i darovitosti u školama u kojima je to uvjet za upis)</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Prvo osvojeno mjesto kao član skupine u 5., 6., 7. ili 8. razredu osnovnog obrazovanja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4 boda</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Drugo osvojeno mjesto kao član skupine u 5., 6., 7. ili 8. razredu osnovnog obrazovanja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3 boda</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Treće osvojeno mjesto kao član skupine u 5., 6., 7. ili 8. razredu osnovnog obrazovanja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2 boda</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Sudjelovanje kao pojedinac ili član skupine u 5., 6., 7. ili 8. razredu</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1 bod</w:t>
            </w:r>
          </w:p>
        </w:tc>
      </w:tr>
    </w:tbl>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rezultata kandidata postignutih na sportskim natjecanjima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17.</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tblPr>
      <w:tblGrid>
        <w:gridCol w:w="2933"/>
        <w:gridCol w:w="5552"/>
        <w:gridCol w:w="717"/>
      </w:tblGrid>
      <w:tr w:rsidR="00DC6E00" w:rsidRPr="00DC6E00" w:rsidTr="00DC6E00">
        <w:tc>
          <w:tcPr>
            <w:tcW w:w="0" w:type="auto"/>
            <w:vMerge w:val="restart"/>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Natjecanja školskih sportskih društava</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Učenici koji su na državnom natjecanju kao članovi ekipe osvojili prvo mjesto</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3 boda</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Učenici koji su na državnom natjecanju kao članovi ekipe osvojili drugo mjesto</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2 boda</w:t>
            </w:r>
          </w:p>
        </w:tc>
      </w:tr>
      <w:tr w:rsidR="00DC6E00" w:rsidRPr="00DC6E00" w:rsidTr="00DC6E00">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DC6E00" w:rsidRPr="00DC6E00" w:rsidRDefault="00DC6E00" w:rsidP="00DC6E00">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Učenici koji su na državnom natjecanju kao članovi ekipe osvojili treće mjesto</w:t>
            </w:r>
          </w:p>
        </w:tc>
        <w:tc>
          <w:tcPr>
            <w:tcW w:w="0" w:type="auto"/>
            <w:tcBorders>
              <w:top w:val="single" w:sz="4" w:space="0" w:color="999999"/>
              <w:left w:val="single" w:sz="4" w:space="0" w:color="999999"/>
              <w:bottom w:val="single" w:sz="4" w:space="0" w:color="999999"/>
              <w:right w:val="single" w:sz="4" w:space="0" w:color="999999"/>
            </w:tcBorders>
            <w:tcMar>
              <w:top w:w="65" w:type="dxa"/>
              <w:left w:w="65" w:type="dxa"/>
              <w:bottom w:w="65" w:type="dxa"/>
              <w:right w:w="65" w:type="dxa"/>
            </w:tcMar>
            <w:vAlign w:val="center"/>
            <w:hideMark/>
          </w:tcPr>
          <w:p w:rsidR="00DC6E00" w:rsidRPr="00DC6E00" w:rsidRDefault="00DC6E00" w:rsidP="00DC6E00">
            <w:pPr>
              <w:spacing w:after="98" w:line="240" w:lineRule="auto"/>
              <w:rPr>
                <w:rFonts w:ascii="Times New Roman" w:eastAsia="Times New Roman" w:hAnsi="Times New Roman" w:cs="Times New Roman"/>
                <w:sz w:val="24"/>
                <w:szCs w:val="24"/>
                <w:lang w:eastAsia="hr-HR"/>
              </w:rPr>
            </w:pPr>
            <w:r w:rsidRPr="00DC6E00">
              <w:rPr>
                <w:rFonts w:ascii="Times New Roman" w:eastAsia="Times New Roman" w:hAnsi="Times New Roman" w:cs="Times New Roman"/>
                <w:sz w:val="24"/>
                <w:szCs w:val="24"/>
                <w:lang w:eastAsia="hr-HR"/>
              </w:rPr>
              <w:t>1 bod</w:t>
            </w:r>
          </w:p>
        </w:tc>
      </w:tr>
    </w:tbl>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 POSEBAN ELEMENT VREDNOVANJA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18. (NN </w:t>
      </w:r>
      <w:hyperlink r:id="rId19"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Kandidat ostvaruje pravo na poseban element vrednovanja ako:</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ima zdravstvene teškoće;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živi u otežanim uvjetima obrazovanja uzrokovanim nepovoljnim ekonomskim, socijalnim te odgojnim čimbenicima.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kandidata sa zdravstvenim teškoćama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19. (NN </w:t>
      </w:r>
      <w:hyperlink r:id="rId20"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 sa zdravstvenim teškoćama je kandidat koji je osnovno obrazovanje završio po redovitome nastavnom planu i programu, a kojem su zdravstvene teškoće mogle utjecati na postizanje rezultata tijekom prethodnog razdoblja.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Brisan.</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ostvarivanje prava na poseban element vrednovanja kandidat iz stavka 1. ovoga članka obvezno prilaže: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kandidata koji žive u otežanim uvjetima obrazovanja uzrokovanim nepovoljnim ekonomskim, socijalnim te odgojnim čimbenicima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20. (NN </w:t>
      </w:r>
      <w:hyperlink r:id="rId21"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Brisan.</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Kandidat živi u otežanim uvjetima obrazovanja uzrokovanim ekonomskim, socijalnim te odgojnim čimbenicima, a koji su mogli utjecati na njegov školski uspjeh u osnovnoj školi ako:</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živi uz jednoga i/ili oba roditelja/skrbnika s dugotrajnom teškom bolesti;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živi uz oba roditelja/skrbnika koji se prema zakonu koji regulira poticanje zapošljavanja smatraju dugotrajno nezaposlenim osobama;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mu je jedan roditelj/</w:t>
      </w:r>
      <w:proofErr w:type="spellStart"/>
      <w:r w:rsidRPr="00DC6E00">
        <w:rPr>
          <w:rFonts w:ascii="Arial" w:eastAsia="Times New Roman" w:hAnsi="Arial" w:cs="Arial"/>
          <w:color w:val="414145"/>
          <w:sz w:val="15"/>
          <w:szCs w:val="15"/>
          <w:lang w:eastAsia="hr-HR"/>
        </w:rPr>
        <w:t>skrbnikpreminuo.</w:t>
      </w:r>
      <w:proofErr w:type="spellEnd"/>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ostvarenje prava iz stavka 2. ovoga članka kandidat prilaže: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liječničku potvrdu o dugotrajnoj težoj bolesti jednoga i/ili oba roditelja/skrbnika;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potvrdu nadležnoga područnoga ureda Hrvatskoga zavoda za zapošljavanje o dugotrajnoj nezaposlenosti oba roditelja/skrbnika;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ispravu iz matice umrlih ili smrtni list koje je izdalo nadležno tijelo u jedinici lokalne ili područne (regionalne) jedinice ili Grada Zagreba.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proofErr w:type="spellStart"/>
      <w:r w:rsidRPr="00DC6E00">
        <w:rPr>
          <w:rFonts w:ascii="Arial" w:eastAsia="Times New Roman" w:hAnsi="Arial" w:cs="Arial"/>
          <w:color w:val="414145"/>
          <w:sz w:val="15"/>
          <w:szCs w:val="15"/>
          <w:lang w:eastAsia="hr-HR"/>
        </w:rPr>
        <w:t>V.a</w:t>
      </w:r>
      <w:proofErr w:type="spellEnd"/>
      <w:r w:rsidRPr="00DC6E00">
        <w:rPr>
          <w:rFonts w:ascii="Arial" w:eastAsia="Times New Roman" w:hAnsi="Arial" w:cs="Arial"/>
          <w:color w:val="414145"/>
          <w:sz w:val="15"/>
          <w:szCs w:val="15"/>
          <w:lang w:eastAsia="hr-HR"/>
        </w:rPr>
        <w:t xml:space="preserve"> VREDNOVANJE KANDIDATA PRIPADNIKA ROMSKE NACIONALNE MANJINE I KANDIDATA BEZ RODITELJSKE SKRBI«</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21. (NN </w:t>
      </w:r>
      <w:hyperlink r:id="rId22"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Kandidatu koji je pripadnik romske nacionalne manjine, a upisuje se na temelju Nacionalnog plana za uključivanje Roma za razdoblje od 2021. do 2027. godine dodaju se dva boda na broj bodova koji je utvrđen tijekom postupka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Kandidatu koji je dijete bez roditelja/skrbnika ili odgovarajuće roditeljske skrbi prema zakonu koji uređuje socijalnu skrb dodaje se jedan bod na broj bodova koji je utvrđen tijekom postupka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ostvarivanje dodatnih bodova iz stavka 1. ovoga članka kandidat prilaže potvrdu o pripadnosti romskoj nacionalnoj manjini (rodni list učenika ili rodni list jednog od roditelja/skrbnika ili izvadak iz popisa birača za roditelja/skrbnika)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Za ostvarivanje dodatnih bodova iz stavka 2. ovoga članka kandidat prilaže potvrdu nadležnog centra za socijalnu skrb da je kandidat dijete bez roditelja/skrbnika ili odgovarajuće roditeljske skrbi.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Neovisno o tomu ispunjava li uvjete za ostvarivanje više prava, kandidatu će se priznati ostvarivanje isključivo jednoga prava od prava propisanih stavcima 1. i 2. ovoga članka, koje je za njega najpovoljnije.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22. (NN </w:t>
      </w:r>
      <w:hyperlink r:id="rId23" w:history="1">
        <w:r w:rsidRPr="00DC6E00">
          <w:rPr>
            <w:rFonts w:ascii="Arial" w:eastAsia="Times New Roman" w:hAnsi="Arial" w:cs="Arial"/>
            <w:b/>
            <w:bCs/>
            <w:color w:val="497FD7"/>
            <w:sz w:val="15"/>
            <w:u w:val="single"/>
            <w:lang w:eastAsia="hr-HR"/>
          </w:rPr>
          <w:t>109/16</w:t>
        </w:r>
      </w:hyperlink>
      <w:r w:rsidRPr="00DC6E00">
        <w:rPr>
          <w:rFonts w:ascii="Arial" w:eastAsia="Times New Roman" w:hAnsi="Arial" w:cs="Arial"/>
          <w:color w:val="414145"/>
          <w:sz w:val="15"/>
          <w:szCs w:val="15"/>
          <w:lang w:eastAsia="hr-HR"/>
        </w:rPr>
        <w:t>, </w:t>
      </w:r>
      <w:hyperlink r:id="rId24" w:history="1">
        <w:r w:rsidRPr="00DC6E00">
          <w:rPr>
            <w:rFonts w:ascii="Arial" w:eastAsia="Times New Roman" w:hAnsi="Arial" w:cs="Arial"/>
            <w:b/>
            <w:bCs/>
            <w:color w:val="497FD7"/>
            <w:sz w:val="15"/>
            <w:u w:val="single"/>
            <w:lang w:eastAsia="hr-HR"/>
          </w:rPr>
          <w:t>47/17</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Brisan.</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VI. VREDNOVANJE USPJEHA KANDIDATA S TEŠKOĆAMA U RAZVOJU ODNOSNO TEŽIM ZDRAVSTVENIM TEŠKOĆAMA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23. (NN </w:t>
      </w:r>
      <w:hyperlink r:id="rId25"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Kandidati iz stavka 1. ovoga članka mora zadovoljiti na ispitu sposobnosti i darovitosti u školama u kojima je to uvjet za upis.</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lastRenderedPageBreak/>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Za ostvarenje prava iz stavka 2. ovoga članka kandidat obvezno prilaže: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rješenje Ureda o primjerenom programu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VII. ZDRAVSTVENA SPOSOBNOST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24. (NN </w:t>
      </w:r>
      <w:hyperlink r:id="rId26" w:history="1">
        <w:r w:rsidRPr="00DC6E00">
          <w:rPr>
            <w:rFonts w:ascii="Arial" w:eastAsia="Times New Roman" w:hAnsi="Arial" w:cs="Arial"/>
            <w:b/>
            <w:bCs/>
            <w:color w:val="497FD7"/>
            <w:sz w:val="15"/>
            <w:u w:val="single"/>
            <w:lang w:eastAsia="hr-HR"/>
          </w:rPr>
          <w:t>47/17</w:t>
        </w:r>
      </w:hyperlink>
      <w:r w:rsidRPr="00DC6E00">
        <w:rPr>
          <w:rFonts w:ascii="Arial" w:eastAsia="Times New Roman" w:hAnsi="Arial" w:cs="Arial"/>
          <w:color w:val="414145"/>
          <w:sz w:val="15"/>
          <w:szCs w:val="15"/>
          <w:lang w:eastAsia="hr-HR"/>
        </w:rPr>
        <w:t>, </w:t>
      </w:r>
      <w:hyperlink r:id="rId27"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VIII. POSEBNA MJERILA I POSTUPCI ZA UPIS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25. (NN </w:t>
      </w:r>
      <w:hyperlink r:id="rId28" w:history="1">
        <w:r w:rsidRPr="00DC6E00">
          <w:rPr>
            <w:rFonts w:ascii="Arial" w:eastAsia="Times New Roman" w:hAnsi="Arial" w:cs="Arial"/>
            <w:b/>
            <w:bCs/>
            <w:color w:val="497FD7"/>
            <w:sz w:val="15"/>
            <w:u w:val="single"/>
            <w:lang w:eastAsia="hr-HR"/>
          </w:rPr>
          <w:t>47/17</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Brisan.</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Vrednovanje uspjeha kandidata za upis u programe obrazovanja za vezane obrte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26. (NN </w:t>
      </w:r>
      <w:hyperlink r:id="rId29" w:history="1">
        <w:r w:rsidRPr="00DC6E00">
          <w:rPr>
            <w:rFonts w:ascii="Arial" w:eastAsia="Times New Roman" w:hAnsi="Arial" w:cs="Arial"/>
            <w:b/>
            <w:bCs/>
            <w:color w:val="497FD7"/>
            <w:sz w:val="15"/>
            <w:u w:val="single"/>
            <w:lang w:eastAsia="hr-HR"/>
          </w:rPr>
          <w:t>47/17</w:t>
        </w:r>
      </w:hyperlink>
      <w:r w:rsidRPr="00DC6E00">
        <w:rPr>
          <w:rFonts w:ascii="Arial" w:eastAsia="Times New Roman" w:hAnsi="Arial" w:cs="Arial"/>
          <w:color w:val="414145"/>
          <w:sz w:val="15"/>
          <w:szCs w:val="15"/>
          <w:lang w:eastAsia="hr-HR"/>
        </w:rPr>
        <w:t>, </w:t>
      </w:r>
      <w:hyperlink r:id="rId30"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Kandidat koji upisuje program obrazovanja za vezane obrte dužan je, pri upisu ili najkasnije do 30. rujna tekuće školske godine, dostaviti školi liječničku svjedodžbu medicine rada i sklopljen ugovor o naukovanju.</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da popise slobodnih mjesta za praktičnu nastavu i vježbe naukovanja istakne na oglasnoj ploči i mrežnoj stranici škole.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Ugovor o naukovanju sklapaju obrtnik ili pravna osoba koji imaju dozvolu (licenciju) za izvođenje naukovanja i kandidat (roditelj ili skrbnik kandidata), u skladu sa zakonom koji uređuje obavljanje obrta, a prilikom sklapanja ugovora kandidat donosi na uvid:</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ovjerenu presliku svjedodžbe završnoga razreda osnovnog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liječničku svjedodžbu medicine rada.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(4) Ugovor o naukovanju sklapa se u četiri istovjetna primjerka od kojih po jedan pripada svakoj ugovornoj strani, nadležnoj ustanovi za strukovno obrazovanje te nadležnoj područnoj obrtničkoj komori.</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(5) Evidenciju i verifikaciju ugovora o naukovanju vodi Hrvatska obrtnička komora.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(6) Licencirani obrtnik ili pravna osoba može sklopiti onoliki broj ugovora koliko ima slobodnih mjesta za izvođenje praktične nastave i vježbi naukovanja sukladno dozvoli (licenciji) koju posjeduje.</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IX. PROVEDBA DODATNIH PROVJERA SKLONOSTI I SPOSOBNOSTI KANDIDATA</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27.</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Škola koja upisuje kandidata u programe obrazovanja za koje je potrebna određena tjelesna, glasovna i slična spretnost ili sposobnost mogu provoditi provjeru sklonosti i sposobnosti kandidata za taj program obrazovanja.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Na temelju provjera iz stavka 1. ovoga članka kandidat može ostvariti ocjenu »položio« ili »nije položio«.</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X. MINIMALNI BODOVNI PRAG</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28. (NN </w:t>
      </w:r>
      <w:hyperlink r:id="rId31"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(1) Za programe obrazovanja u trajanju od najmanje četiri godine, škola može utvrditi minimalni broj bodova potrebnih za prijavu kandidata za upis u pojedini program obrazovanja, a koji se odnosi isključivo na zajednički element vrednovanja.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(2) Utvrđeni minimalni broj bodova iz stavka 1. ovoga članka primjenjuje se tijekom cijeloga upisnog postupka za sve kandidate, osim za kandidate iz članka 16. ovoga Pravilnika koji imaju pravo izravnog upisa.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29. (NN </w:t>
      </w:r>
      <w:hyperlink r:id="rId32" w:history="1">
        <w:r w:rsidRPr="00DC6E00">
          <w:rPr>
            <w:rFonts w:ascii="Arial" w:eastAsia="Times New Roman" w:hAnsi="Arial" w:cs="Arial"/>
            <w:b/>
            <w:bCs/>
            <w:color w:val="497FD7"/>
            <w:sz w:val="15"/>
            <w:u w:val="single"/>
            <w:lang w:eastAsia="hr-HR"/>
          </w:rPr>
          <w:t>39/22</w:t>
        </w:r>
      </w:hyperlink>
      <w:r w:rsidRPr="00DC6E00">
        <w:rPr>
          <w:rFonts w:ascii="Arial" w:eastAsia="Times New Roman" w:hAnsi="Arial" w:cs="Arial"/>
          <w:color w:val="414145"/>
          <w:sz w:val="15"/>
          <w:szCs w:val="15"/>
          <w:lang w:eastAsia="hr-HR"/>
        </w:rPr>
        <w:t>)</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Brisan.</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XII. PRIJELAZNE I ZAVRŠNE ODREDBE</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30.</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Ovaj pravilnik stupa na snagu osmoga dana od dana objave u »Narodnim novinama«, osim odredbe članka 9. ovoga pravilnika koja stupa na snagu u trenutku započinjanja postupaka za upis u školsku godinu 2016./2017.</w:t>
      </w:r>
    </w:p>
    <w:p w:rsidR="00DC6E00" w:rsidRPr="00DC6E00" w:rsidRDefault="00DC6E00" w:rsidP="00DC6E00">
      <w:pPr>
        <w:spacing w:before="109" w:after="109" w:line="336" w:lineRule="atLeast"/>
        <w:jc w:val="center"/>
        <w:outlineLvl w:val="4"/>
        <w:rPr>
          <w:rFonts w:ascii="Arial" w:eastAsia="Times New Roman" w:hAnsi="Arial" w:cs="Arial"/>
          <w:b/>
          <w:bCs/>
          <w:color w:val="414145"/>
          <w:sz w:val="20"/>
          <w:szCs w:val="20"/>
          <w:lang w:eastAsia="hr-HR"/>
        </w:rPr>
      </w:pPr>
      <w:r w:rsidRPr="00DC6E00">
        <w:rPr>
          <w:rFonts w:ascii="Arial" w:eastAsia="Times New Roman" w:hAnsi="Arial" w:cs="Arial"/>
          <w:b/>
          <w:bCs/>
          <w:color w:val="414145"/>
          <w:sz w:val="20"/>
          <w:szCs w:val="20"/>
          <w:lang w:eastAsia="hr-HR"/>
        </w:rPr>
        <w:lastRenderedPageBreak/>
        <w:t>Prijelazne i završne odredbe iz NN 47/17</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5.</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Ovaj pravilnik stupa na snagu osmoga dana od dana objave u »Narodnim novinama«.</w:t>
      </w:r>
    </w:p>
    <w:p w:rsidR="00DC6E00" w:rsidRPr="00DC6E00" w:rsidRDefault="00DC6E00" w:rsidP="00DC6E00">
      <w:pPr>
        <w:spacing w:before="109" w:after="109" w:line="336" w:lineRule="atLeast"/>
        <w:jc w:val="center"/>
        <w:outlineLvl w:val="4"/>
        <w:rPr>
          <w:rFonts w:ascii="Arial" w:eastAsia="Times New Roman" w:hAnsi="Arial" w:cs="Arial"/>
          <w:b/>
          <w:bCs/>
          <w:color w:val="414145"/>
          <w:sz w:val="20"/>
          <w:szCs w:val="20"/>
          <w:lang w:eastAsia="hr-HR"/>
        </w:rPr>
      </w:pPr>
      <w:r w:rsidRPr="00DC6E00">
        <w:rPr>
          <w:rFonts w:ascii="Arial" w:eastAsia="Times New Roman" w:hAnsi="Arial" w:cs="Arial"/>
          <w:b/>
          <w:bCs/>
          <w:color w:val="414145"/>
          <w:sz w:val="20"/>
          <w:szCs w:val="20"/>
          <w:lang w:eastAsia="hr-HR"/>
        </w:rPr>
        <w:t>Prijelazne i završne odredbe iz NN 39/22</w:t>
      </w:r>
    </w:p>
    <w:p w:rsidR="00DC6E00" w:rsidRPr="00DC6E00" w:rsidRDefault="00DC6E00" w:rsidP="00DC6E00">
      <w:pPr>
        <w:spacing w:after="0"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23.</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Iznimno od članka 9. stavka 4. ovoga Pravilnika, u tekućoj školskoj godini 2021./2022. zahtjev za suglasnost za provedbu provjere posebnih znanja za upis u školsku godinu 2022./2023. srednje škole mogu dostaviti Ministarstvu najkasnije do 15. travnja 2022. godine.</w:t>
      </w:r>
    </w:p>
    <w:p w:rsidR="00DC6E00" w:rsidRPr="00DC6E00" w:rsidRDefault="00DC6E00" w:rsidP="00DC6E00">
      <w:pPr>
        <w:spacing w:after="0"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Članak 24.</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Ovaj Pravilnik stupa na snagu osmoga dana od dana objave u »Narodnim novinama«.</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POPIS PREDMETA POSEBNO VAŽNIH ZA UPIS </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spacing w:after="98" w:line="240" w:lineRule="auto"/>
        <w:jc w:val="center"/>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tbl>
      <w:tblPr>
        <w:tblW w:w="7753" w:type="dxa"/>
        <w:tblCellMar>
          <w:top w:w="15" w:type="dxa"/>
          <w:left w:w="15" w:type="dxa"/>
          <w:bottom w:w="15" w:type="dxa"/>
          <w:right w:w="15" w:type="dxa"/>
        </w:tblCellMar>
        <w:tblLook w:val="04A0"/>
      </w:tblPr>
      <w:tblGrid>
        <w:gridCol w:w="1824"/>
        <w:gridCol w:w="2259"/>
        <w:gridCol w:w="1060"/>
        <w:gridCol w:w="1194"/>
        <w:gridCol w:w="1416"/>
      </w:tblGrid>
      <w:tr w:rsidR="00DC6E00" w:rsidRPr="00DC6E00" w:rsidTr="00DC6E00">
        <w:tc>
          <w:tcPr>
            <w:tcW w:w="1816" w:type="dxa"/>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Obrazovni sektor</w:t>
            </w:r>
          </w:p>
        </w:tc>
        <w:tc>
          <w:tcPr>
            <w:tcW w:w="2707" w:type="dxa"/>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Strukovno područje/Program</w:t>
            </w:r>
          </w:p>
        </w:tc>
        <w:tc>
          <w:tcPr>
            <w:tcW w:w="700" w:type="dxa"/>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Trajanje u godinama</w:t>
            </w:r>
          </w:p>
        </w:tc>
        <w:tc>
          <w:tcPr>
            <w:tcW w:w="1121" w:type="dxa"/>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Predmet 1</w:t>
            </w:r>
          </w:p>
        </w:tc>
        <w:tc>
          <w:tcPr>
            <w:tcW w:w="1067" w:type="dxa"/>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Predmet 2</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Ekonomija, trgovina i poslovna administracija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Povijest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Elektrotehnika i računalstvo</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Geologija, rudarstvo, nafta i kemijska tehnologija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Ekološki 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Geološki 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Kemijski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Geologija, rudarstvo, nafta i kemijska tehnologija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Naftno-rudarski 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Rudarski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Graditeljstvo i geodezija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Grafička tehnologija i audio-vizualno oblikovanje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Klasična gimnazija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Opća gimnazija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Jezična 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Povijest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xml:space="preserve">Klasična gimnazija – učenici koji nastavljaju </w:t>
            </w:r>
            <w:r w:rsidRPr="00DC6E00">
              <w:rPr>
                <w:rFonts w:ascii="Minion Pro" w:eastAsia="Times New Roman" w:hAnsi="Minion Pro" w:cs="Times New Roman"/>
                <w:color w:val="231F20"/>
                <w:lang w:eastAsia="hr-HR"/>
              </w:rPr>
              <w:lastRenderedPageBreak/>
              <w:t>učenje klasičnih jezika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lastRenderedPageBreak/>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xml:space="preserve">Latinski </w:t>
            </w:r>
            <w:r w:rsidRPr="00DC6E00">
              <w:rPr>
                <w:rFonts w:ascii="Minion Pro" w:eastAsia="Times New Roman" w:hAnsi="Minion Pro" w:cs="Times New Roman"/>
                <w:color w:val="231F20"/>
                <w:lang w:eastAsia="hr-HR"/>
              </w:rPr>
              <w:lastRenderedPageBreak/>
              <w:t>jezik</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lastRenderedPageBreak/>
              <w:t>Povijest</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lastRenderedPageBreak/>
              <w:t>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Prirodoslovna 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Prirodoslovno-matematička 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Umjetnička gimnazija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Povijest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Osobne, usluge zaštite i druge usluge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za očnu optiku</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zaštite osoba i imovine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Osobne, usluge zaštite i druge usluge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Kozmetičar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Poljoprivreda, prehrana i veterina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proofErr w:type="spellStart"/>
            <w:r w:rsidRPr="00DC6E00">
              <w:rPr>
                <w:rFonts w:ascii="Minion Pro" w:eastAsia="Times New Roman" w:hAnsi="Minion Pro" w:cs="Times New Roman"/>
                <w:color w:val="231F20"/>
                <w:lang w:eastAsia="hr-HR"/>
              </w:rPr>
              <w:t>Agroturistički</w:t>
            </w:r>
            <w:proofErr w:type="spellEnd"/>
            <w:r w:rsidRPr="00DC6E00">
              <w:rPr>
                <w:rFonts w:ascii="Minion Pro" w:eastAsia="Times New Roman" w:hAnsi="Minion Pro" w:cs="Times New Roman"/>
                <w:color w:val="231F20"/>
                <w:lang w:eastAsia="hr-HR"/>
              </w:rPr>
              <w:t xml:space="preserve">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Poljoprivreda, prehrana i veterina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Poljoprivredni tehničar – </w:t>
            </w:r>
            <w:proofErr w:type="spellStart"/>
            <w:r w:rsidRPr="00DC6E00">
              <w:rPr>
                <w:rFonts w:ascii="Minion Pro" w:eastAsia="Times New Roman" w:hAnsi="Minion Pro" w:cs="Times New Roman"/>
                <w:lang w:eastAsia="hr-HR"/>
              </w:rPr>
              <w:t>fitofarmaceut</w:t>
            </w:r>
            <w:proofErr w:type="spellEnd"/>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Agrotehničar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Mljekarski 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Prehrambeni tehničar</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nutricionist</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Veterinarski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Poljoprivreda, prehrana i veterina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Poljoprivredni tehničar – vrtlar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Promet i logistika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Ribarsko-nautički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Promet i logistika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cestovnog prometa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za logistiku i špediciju</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za poštanske i financijske usluge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vuče – strojovođa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lastRenderedPageBreak/>
              <w:t>Tehničar za željeznički promet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lastRenderedPageBreak/>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lastRenderedPageBreak/>
              <w:t>Promet i logistika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Nautičar unutarnje plovidbe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Pomorski nautičar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Promet i logistika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unutarnjeg transporta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Tehničar za jahte i marine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Zrakoplovni prometnik</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Geografija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Strojarstvo, brodogradnja i metalurgija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Šumarstvo, prerada i obrada drva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Drvodjeljski tehničar – restaurator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Šumarstvo, prerada i obrada drva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Drvodjeljski tehničar dizajner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Šumarstvo, prerada i obrada drva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Meteorološki tehničar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Fizika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Šumarstvo, prerada i obrada drva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Tehničar zaštite prirode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Tekstil i koža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Turizam i ugostiteljstvo</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Povijest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Geografija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Dizajner tekstila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Umjetnost – glazbena 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Glazbenik – instrument</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Glazbenik – teorijski smjer</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Likovna kultura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Glazbena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Umjetnost – glazbena 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Graditelj i restaurator glazbala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Glazbena kultura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lastRenderedPageBreak/>
              <w:t>Umjetnost – glazbena 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saksofonist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bubnjar i udaraljkaš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gitarist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bas gitarist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w:t>
            </w:r>
            <w:proofErr w:type="spellStart"/>
            <w:r w:rsidRPr="00DC6E00">
              <w:rPr>
                <w:rFonts w:ascii="Minion Pro" w:eastAsia="Times New Roman" w:hAnsi="Minion Pro" w:cs="Times New Roman"/>
                <w:lang w:eastAsia="hr-HR"/>
              </w:rPr>
              <w:t>kontrabasist</w:t>
            </w:r>
            <w:proofErr w:type="spellEnd"/>
            <w:r w:rsidRPr="00DC6E00">
              <w:rPr>
                <w:rFonts w:ascii="Minion Pro" w:eastAsia="Times New Roman" w:hAnsi="Minion Pro" w:cs="Times New Roman"/>
                <w:lang w:eastAsia="hr-HR"/>
              </w:rPr>
              <w:t xml:space="preserve">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 xml:space="preserve">Glazbenik pjevač popularne i </w:t>
            </w:r>
            <w:proofErr w:type="spellStart"/>
            <w:r w:rsidRPr="00DC6E00">
              <w:rPr>
                <w:rFonts w:ascii="Minion Pro" w:eastAsia="Times New Roman" w:hAnsi="Minion Pro" w:cs="Times New Roman"/>
                <w:lang w:eastAsia="hr-HR"/>
              </w:rPr>
              <w:t>jazz</w:t>
            </w:r>
            <w:proofErr w:type="spellEnd"/>
            <w:r w:rsidRPr="00DC6E00">
              <w:rPr>
                <w:rFonts w:ascii="Minion Pro" w:eastAsia="Times New Roman" w:hAnsi="Minion Pro" w:cs="Times New Roman"/>
                <w:lang w:eastAsia="hr-HR"/>
              </w:rPr>
              <w:t xml:space="preserve"> glazbe</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Likovna kultura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Glazbena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Umjetnost – likovna 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umjetnost i dizajn</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Likovna kultura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Tehnička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Umjetnost – plesna umjetnost</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Plesač klasičnog baleta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Plesač narodnih plesova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Plesač suvremenog plesa</w:t>
            </w:r>
          </w:p>
          <w:p w:rsidR="00DC6E00" w:rsidRPr="00DC6E00" w:rsidRDefault="00DC6E00" w:rsidP="00DC6E00">
            <w:pPr>
              <w:spacing w:after="98" w:line="240" w:lineRule="auto"/>
              <w:rPr>
                <w:rFonts w:ascii="Minion Pro" w:eastAsia="Times New Roman" w:hAnsi="Minion Pro" w:cs="Times New Roman"/>
                <w:lang w:eastAsia="hr-HR"/>
              </w:rPr>
            </w:pPr>
            <w:r w:rsidRPr="00DC6E00">
              <w:rPr>
                <w:rFonts w:ascii="Minion Pro" w:eastAsia="Times New Roman" w:hAnsi="Minion Pro" w:cs="Times New Roman"/>
                <w:lang w:eastAsia="hr-HR"/>
              </w:rPr>
              <w:t>Scenski plesač</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Times New Roman" w:eastAsia="Times New Roman" w:hAnsi="Times New Roman" w:cs="Times New Roman"/>
                <w:color w:val="231F20"/>
                <w:lang w:eastAsia="hr-HR"/>
              </w:rPr>
            </w:pPr>
            <w:r w:rsidRPr="00DC6E00">
              <w:rPr>
                <w:rFonts w:ascii="Times New Roman" w:eastAsia="Times New Roman" w:hAnsi="Times New Roman" w:cs="Times New Roman"/>
                <w:color w:val="231F20"/>
                <w:lang w:eastAsia="hr-HR"/>
              </w:rPr>
              <w:t>Tjelesna i zdravstvena kultura</w:t>
            </w:r>
          </w:p>
        </w:tc>
      </w:tr>
      <w:tr w:rsidR="00DC6E00" w:rsidRPr="00DC6E00" w:rsidTr="00DC6E00">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Zdravstvo i socijalna skrb</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 </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jc w:val="center"/>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4 i 5</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Biologija</w:t>
            </w:r>
          </w:p>
        </w:tc>
        <w:tc>
          <w:tcPr>
            <w:tcW w:w="0" w:type="auto"/>
            <w:tcBorders>
              <w:top w:val="single" w:sz="4" w:space="0" w:color="999999"/>
              <w:left w:val="single" w:sz="4" w:space="0" w:color="999999"/>
              <w:bottom w:val="single" w:sz="4" w:space="0" w:color="999999"/>
              <w:right w:val="single" w:sz="4" w:space="0" w:color="999999"/>
            </w:tcBorders>
            <w:tcMar>
              <w:top w:w="96" w:type="dxa"/>
              <w:left w:w="96" w:type="dxa"/>
              <w:bottom w:w="120" w:type="dxa"/>
              <w:right w:w="96" w:type="dxa"/>
            </w:tcMar>
            <w:vAlign w:val="center"/>
            <w:hideMark/>
          </w:tcPr>
          <w:p w:rsidR="00DC6E00" w:rsidRPr="00DC6E00" w:rsidRDefault="00DC6E00" w:rsidP="00DC6E00">
            <w:pPr>
              <w:spacing w:after="98" w:line="240" w:lineRule="auto"/>
              <w:rPr>
                <w:rFonts w:ascii="Minion Pro" w:eastAsia="Times New Roman" w:hAnsi="Minion Pro" w:cs="Times New Roman"/>
                <w:color w:val="231F20"/>
                <w:lang w:eastAsia="hr-HR"/>
              </w:rPr>
            </w:pPr>
            <w:r w:rsidRPr="00DC6E00">
              <w:rPr>
                <w:rFonts w:ascii="Minion Pro" w:eastAsia="Times New Roman" w:hAnsi="Minion Pro" w:cs="Times New Roman"/>
                <w:color w:val="231F20"/>
                <w:lang w:eastAsia="hr-HR"/>
              </w:rPr>
              <w:t>Kemija</w:t>
            </w:r>
          </w:p>
        </w:tc>
      </w:tr>
    </w:tbl>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spacing w:after="98" w:line="240" w:lineRule="auto"/>
        <w:rPr>
          <w:rFonts w:ascii="Arial" w:eastAsia="Times New Roman" w:hAnsi="Arial" w:cs="Arial"/>
          <w:color w:val="414145"/>
          <w:sz w:val="15"/>
          <w:szCs w:val="15"/>
          <w:lang w:eastAsia="hr-HR"/>
        </w:rPr>
      </w:pPr>
      <w:r w:rsidRPr="00DC6E00">
        <w:rPr>
          <w:rFonts w:ascii="Arial" w:eastAsia="Times New Roman" w:hAnsi="Arial" w:cs="Arial"/>
          <w:color w:val="414145"/>
          <w:sz w:val="15"/>
          <w:szCs w:val="15"/>
          <w:lang w:eastAsia="hr-HR"/>
        </w:rPr>
        <w:t> </w:t>
      </w:r>
    </w:p>
    <w:p w:rsidR="00DC6E00" w:rsidRPr="00DC6E00" w:rsidRDefault="00DC6E00" w:rsidP="00DC6E00">
      <w:pPr>
        <w:pBdr>
          <w:bottom w:val="single" w:sz="6" w:space="1" w:color="auto"/>
        </w:pBdr>
        <w:spacing w:after="0" w:line="240" w:lineRule="auto"/>
        <w:jc w:val="center"/>
        <w:rPr>
          <w:rFonts w:ascii="Arial" w:eastAsia="Times New Roman" w:hAnsi="Arial" w:cs="Arial"/>
          <w:vanish/>
          <w:sz w:val="16"/>
          <w:szCs w:val="16"/>
          <w:lang w:eastAsia="hr-HR"/>
        </w:rPr>
      </w:pPr>
      <w:r w:rsidRPr="00DC6E00">
        <w:rPr>
          <w:rFonts w:ascii="Arial" w:eastAsia="Times New Roman" w:hAnsi="Arial" w:cs="Arial"/>
          <w:vanish/>
          <w:sz w:val="16"/>
          <w:szCs w:val="16"/>
          <w:lang w:eastAsia="hr-HR"/>
        </w:rPr>
        <w:t>Vrh obrasca</w:t>
      </w:r>
    </w:p>
    <w:p w:rsidR="00DC6E00" w:rsidRPr="00DC6E00" w:rsidRDefault="00DC6E00" w:rsidP="00DC6E00">
      <w:pPr>
        <w:shd w:val="clear" w:color="auto" w:fill="E4E4E7"/>
        <w:spacing w:after="0" w:line="240" w:lineRule="auto"/>
        <w:rPr>
          <w:rFonts w:ascii="Arial" w:eastAsia="Times New Roman" w:hAnsi="Arial" w:cs="Arial"/>
          <w:color w:val="414145"/>
          <w:sz w:val="13"/>
          <w:szCs w:val="13"/>
          <w:lang w:eastAsia="hr-HR"/>
        </w:rPr>
      </w:pPr>
      <w:r w:rsidRPr="00DC6E00">
        <w:rPr>
          <w:rFonts w:ascii="Arial" w:eastAsia="Times New Roman" w:hAnsi="Arial" w:cs="Arial"/>
          <w:color w:val="414145"/>
          <w:sz w:val="13"/>
          <w:szCs w:val="13"/>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8pt;height:18pt" o:ole="">
            <v:imagedata r:id="rId33" o:title=""/>
          </v:shape>
          <w:control r:id="rId34" w:name="DefaultOcxName" w:shapeid="_x0000_i1029"/>
        </w:object>
      </w:r>
    </w:p>
    <w:p w:rsidR="00DC6E00" w:rsidRPr="00DC6E00" w:rsidRDefault="00DC6E00" w:rsidP="00DC6E00">
      <w:pPr>
        <w:pBdr>
          <w:top w:val="single" w:sz="6" w:space="1" w:color="auto"/>
        </w:pBdr>
        <w:spacing w:after="0" w:line="240" w:lineRule="auto"/>
        <w:jc w:val="center"/>
        <w:rPr>
          <w:rFonts w:ascii="Arial" w:eastAsia="Times New Roman" w:hAnsi="Arial" w:cs="Arial"/>
          <w:vanish/>
          <w:sz w:val="16"/>
          <w:szCs w:val="16"/>
          <w:lang w:eastAsia="hr-HR"/>
        </w:rPr>
      </w:pPr>
      <w:r w:rsidRPr="00DC6E00">
        <w:rPr>
          <w:rFonts w:ascii="Arial" w:eastAsia="Times New Roman" w:hAnsi="Arial" w:cs="Arial"/>
          <w:vanish/>
          <w:sz w:val="16"/>
          <w:szCs w:val="16"/>
          <w:lang w:eastAsia="hr-HR"/>
        </w:rPr>
        <w:t>Dno obrasca</w:t>
      </w:r>
    </w:p>
    <w:p w:rsidR="00DC6E00" w:rsidRPr="00DC6E00" w:rsidRDefault="00DC6E00" w:rsidP="00DC6E00">
      <w:pPr>
        <w:numPr>
          <w:ilvl w:val="0"/>
          <w:numId w:val="1"/>
        </w:numPr>
        <w:shd w:val="clear" w:color="auto" w:fill="E4E4E7"/>
        <w:spacing w:before="100" w:beforeAutospacing="1" w:after="100" w:afterAutospacing="1" w:line="240" w:lineRule="auto"/>
        <w:ind w:left="0" w:right="11"/>
        <w:jc w:val="center"/>
        <w:rPr>
          <w:rFonts w:ascii="Arial" w:eastAsia="Times New Roman" w:hAnsi="Arial" w:cs="Arial"/>
          <w:color w:val="414145"/>
          <w:sz w:val="12"/>
          <w:szCs w:val="12"/>
          <w:lang w:eastAsia="hr-HR"/>
        </w:rPr>
      </w:pPr>
      <w:hyperlink r:id="rId35" w:history="1">
        <w:r w:rsidRPr="00DC6E00">
          <w:rPr>
            <w:rFonts w:ascii="Arial" w:eastAsia="Times New Roman" w:hAnsi="Arial" w:cs="Arial"/>
            <w:color w:val="4D4D53"/>
            <w:sz w:val="12"/>
            <w:u w:val="single"/>
            <w:lang w:eastAsia="hr-HR"/>
          </w:rPr>
          <w:t>O projektu</w:t>
        </w:r>
      </w:hyperlink>
    </w:p>
    <w:p w:rsidR="00DC6E00" w:rsidRPr="00DC6E00" w:rsidRDefault="00DC6E00" w:rsidP="00DC6E00">
      <w:pPr>
        <w:numPr>
          <w:ilvl w:val="0"/>
          <w:numId w:val="1"/>
        </w:numPr>
        <w:shd w:val="clear" w:color="auto" w:fill="E4E4E7"/>
        <w:spacing w:before="100" w:beforeAutospacing="1" w:after="100" w:afterAutospacing="1" w:line="240" w:lineRule="auto"/>
        <w:ind w:left="0" w:right="11"/>
        <w:jc w:val="center"/>
        <w:rPr>
          <w:rFonts w:ascii="Arial" w:eastAsia="Times New Roman" w:hAnsi="Arial" w:cs="Arial"/>
          <w:color w:val="414145"/>
          <w:sz w:val="12"/>
          <w:szCs w:val="12"/>
          <w:lang w:eastAsia="hr-HR"/>
        </w:rPr>
      </w:pPr>
      <w:hyperlink r:id="rId36" w:history="1">
        <w:r w:rsidRPr="00DC6E00">
          <w:rPr>
            <w:rFonts w:ascii="Arial" w:eastAsia="Times New Roman" w:hAnsi="Arial" w:cs="Arial"/>
            <w:color w:val="4D4D53"/>
            <w:sz w:val="12"/>
            <w:u w:val="single"/>
            <w:lang w:eastAsia="hr-HR"/>
          </w:rPr>
          <w:t>Pohvale i prijedlozi</w:t>
        </w:r>
      </w:hyperlink>
    </w:p>
    <w:p w:rsidR="00DC6E00" w:rsidRPr="00DC6E00" w:rsidRDefault="00DC6E00" w:rsidP="00DC6E00">
      <w:pPr>
        <w:numPr>
          <w:ilvl w:val="0"/>
          <w:numId w:val="1"/>
        </w:numPr>
        <w:shd w:val="clear" w:color="auto" w:fill="E4E4E7"/>
        <w:spacing w:before="100" w:beforeAutospacing="1" w:after="100" w:afterAutospacing="1" w:line="240" w:lineRule="auto"/>
        <w:ind w:left="0" w:right="11"/>
        <w:jc w:val="center"/>
        <w:rPr>
          <w:rFonts w:ascii="Arial" w:eastAsia="Times New Roman" w:hAnsi="Arial" w:cs="Arial"/>
          <w:color w:val="414145"/>
          <w:sz w:val="12"/>
          <w:szCs w:val="12"/>
          <w:lang w:eastAsia="hr-HR"/>
        </w:rPr>
      </w:pPr>
      <w:hyperlink r:id="rId37" w:history="1">
        <w:r w:rsidRPr="00DC6E00">
          <w:rPr>
            <w:rFonts w:ascii="Arial" w:eastAsia="Times New Roman" w:hAnsi="Arial" w:cs="Arial"/>
            <w:color w:val="4D4D53"/>
            <w:sz w:val="12"/>
            <w:u w:val="single"/>
            <w:lang w:eastAsia="hr-HR"/>
          </w:rPr>
          <w:t>Oglašavanje</w:t>
        </w:r>
      </w:hyperlink>
    </w:p>
    <w:p w:rsidR="00DC6E00" w:rsidRPr="00DC6E00" w:rsidRDefault="00DC6E00" w:rsidP="00DC6E00">
      <w:pPr>
        <w:numPr>
          <w:ilvl w:val="0"/>
          <w:numId w:val="1"/>
        </w:numPr>
        <w:shd w:val="clear" w:color="auto" w:fill="E4E4E7"/>
        <w:spacing w:before="100" w:beforeAutospacing="1" w:after="100" w:afterAutospacing="1" w:line="240" w:lineRule="auto"/>
        <w:ind w:left="0" w:right="11"/>
        <w:jc w:val="center"/>
        <w:rPr>
          <w:rFonts w:ascii="Arial" w:eastAsia="Times New Roman" w:hAnsi="Arial" w:cs="Arial"/>
          <w:color w:val="414145"/>
          <w:sz w:val="12"/>
          <w:szCs w:val="12"/>
          <w:lang w:eastAsia="hr-HR"/>
        </w:rPr>
      </w:pPr>
      <w:hyperlink r:id="rId38" w:history="1">
        <w:r w:rsidRPr="00DC6E00">
          <w:rPr>
            <w:rFonts w:ascii="Arial" w:eastAsia="Times New Roman" w:hAnsi="Arial" w:cs="Arial"/>
            <w:color w:val="4D4D53"/>
            <w:sz w:val="12"/>
            <w:u w:val="single"/>
            <w:lang w:eastAsia="hr-HR"/>
          </w:rPr>
          <w:t>Korištenje</w:t>
        </w:r>
      </w:hyperlink>
    </w:p>
    <w:p w:rsidR="00DC6E00" w:rsidRPr="00DC6E00" w:rsidRDefault="00DC6E00" w:rsidP="00DC6E00">
      <w:pPr>
        <w:spacing w:after="98" w:line="312" w:lineRule="atLeast"/>
        <w:jc w:val="center"/>
        <w:rPr>
          <w:rFonts w:ascii="Times New Roman" w:eastAsia="Times New Roman" w:hAnsi="Times New Roman" w:cs="Times New Roman"/>
          <w:sz w:val="13"/>
          <w:szCs w:val="13"/>
          <w:lang w:eastAsia="hr-HR"/>
        </w:rPr>
      </w:pPr>
      <w:proofErr w:type="spellStart"/>
      <w:r w:rsidRPr="00DC6E00">
        <w:rPr>
          <w:rFonts w:ascii="Times New Roman" w:eastAsia="Times New Roman" w:hAnsi="Times New Roman" w:cs="Times New Roman"/>
          <w:sz w:val="13"/>
          <w:szCs w:val="13"/>
          <w:lang w:eastAsia="hr-HR"/>
        </w:rPr>
        <w:t>Copyright</w:t>
      </w:r>
      <w:proofErr w:type="spellEnd"/>
      <w:r w:rsidRPr="00DC6E00">
        <w:rPr>
          <w:rFonts w:ascii="Times New Roman" w:eastAsia="Times New Roman" w:hAnsi="Times New Roman" w:cs="Times New Roman"/>
          <w:sz w:val="13"/>
          <w:szCs w:val="13"/>
          <w:lang w:eastAsia="hr-HR"/>
        </w:rPr>
        <w:t xml:space="preserve"> © Ante Borić</w:t>
      </w:r>
    </w:p>
    <w:p w:rsidR="004807F7" w:rsidRDefault="004807F7"/>
    <w:sectPr w:rsidR="004807F7" w:rsidSect="00480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0276"/>
    <w:multiLevelType w:val="multilevel"/>
    <w:tmpl w:val="3D5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DC6E00"/>
    <w:rsid w:val="004807F7"/>
    <w:rsid w:val="0064680E"/>
    <w:rsid w:val="00DC6E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F7"/>
  </w:style>
  <w:style w:type="paragraph" w:styleId="Naslov3">
    <w:name w:val="heading 3"/>
    <w:basedOn w:val="Normal"/>
    <w:link w:val="Naslov3Char"/>
    <w:uiPriority w:val="9"/>
    <w:qFormat/>
    <w:rsid w:val="00DC6E0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5">
    <w:name w:val="heading 5"/>
    <w:basedOn w:val="Normal"/>
    <w:link w:val="Naslov5Char"/>
    <w:uiPriority w:val="9"/>
    <w:qFormat/>
    <w:rsid w:val="00DC6E00"/>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DC6E00"/>
    <w:rPr>
      <w:rFonts w:ascii="Times New Roman" w:eastAsia="Times New Roman" w:hAnsi="Times New Roman" w:cs="Times New Roman"/>
      <w:b/>
      <w:bCs/>
      <w:sz w:val="27"/>
      <w:szCs w:val="27"/>
      <w:lang w:eastAsia="hr-HR"/>
    </w:rPr>
  </w:style>
  <w:style w:type="character" w:customStyle="1" w:styleId="Naslov5Char">
    <w:name w:val="Naslov 5 Char"/>
    <w:basedOn w:val="Zadanifontodlomka"/>
    <w:link w:val="Naslov5"/>
    <w:uiPriority w:val="9"/>
    <w:rsid w:val="00DC6E00"/>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DC6E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C6E00"/>
    <w:rPr>
      <w:color w:val="0000FF"/>
      <w:u w:val="single"/>
    </w:rPr>
  </w:style>
  <w:style w:type="paragraph" w:customStyle="1" w:styleId="box470897">
    <w:name w:val="box_470897"/>
    <w:basedOn w:val="Normal"/>
    <w:rsid w:val="00DC6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DC6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vrhobrasca">
    <w:name w:val="HTML Top of Form"/>
    <w:basedOn w:val="Normal"/>
    <w:next w:val="Normal"/>
    <w:link w:val="z-vrhobrascaChar"/>
    <w:hidden/>
    <w:uiPriority w:val="99"/>
    <w:semiHidden/>
    <w:unhideWhenUsed/>
    <w:rsid w:val="00DC6E0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C6E00"/>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DC6E0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C6E00"/>
    <w:rPr>
      <w:rFonts w:ascii="Arial" w:eastAsia="Times New Roman" w:hAnsi="Arial" w:cs="Arial"/>
      <w:vanish/>
      <w:sz w:val="16"/>
      <w:szCs w:val="16"/>
      <w:lang w:eastAsia="hr-HR"/>
    </w:rPr>
  </w:style>
  <w:style w:type="paragraph" w:customStyle="1" w:styleId="text-center">
    <w:name w:val="text-center"/>
    <w:basedOn w:val="Normal"/>
    <w:rsid w:val="00DC6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C6E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6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660787">
      <w:bodyDiv w:val="1"/>
      <w:marLeft w:val="0"/>
      <w:marRight w:val="0"/>
      <w:marTop w:val="0"/>
      <w:marBottom w:val="0"/>
      <w:divBdr>
        <w:top w:val="none" w:sz="0" w:space="0" w:color="auto"/>
        <w:left w:val="none" w:sz="0" w:space="0" w:color="auto"/>
        <w:bottom w:val="none" w:sz="0" w:space="0" w:color="auto"/>
        <w:right w:val="none" w:sz="0" w:space="0" w:color="auto"/>
      </w:divBdr>
      <w:divsChild>
        <w:div w:id="2073700562">
          <w:marLeft w:val="0"/>
          <w:marRight w:val="0"/>
          <w:marTop w:val="0"/>
          <w:marBottom w:val="0"/>
          <w:divBdr>
            <w:top w:val="none" w:sz="0" w:space="0" w:color="auto"/>
            <w:left w:val="none" w:sz="0" w:space="0" w:color="auto"/>
            <w:bottom w:val="none" w:sz="0" w:space="0" w:color="auto"/>
            <w:right w:val="none" w:sz="0" w:space="0" w:color="auto"/>
          </w:divBdr>
          <w:divsChild>
            <w:div w:id="146015788">
              <w:marLeft w:val="0"/>
              <w:marRight w:val="0"/>
              <w:marTop w:val="0"/>
              <w:marBottom w:val="0"/>
              <w:divBdr>
                <w:top w:val="none" w:sz="0" w:space="0" w:color="auto"/>
                <w:left w:val="none" w:sz="0" w:space="0" w:color="auto"/>
                <w:bottom w:val="none" w:sz="0" w:space="0" w:color="auto"/>
                <w:right w:val="none" w:sz="0" w:space="0" w:color="auto"/>
              </w:divBdr>
              <w:divsChild>
                <w:div w:id="1153525077">
                  <w:marLeft w:val="0"/>
                  <w:marRight w:val="0"/>
                  <w:marTop w:val="0"/>
                  <w:marBottom w:val="0"/>
                  <w:divBdr>
                    <w:top w:val="none" w:sz="0" w:space="0" w:color="auto"/>
                    <w:left w:val="none" w:sz="0" w:space="0" w:color="auto"/>
                    <w:bottom w:val="none" w:sz="0" w:space="0" w:color="auto"/>
                    <w:right w:val="none" w:sz="0" w:space="0" w:color="auto"/>
                  </w:divBdr>
                  <w:divsChild>
                    <w:div w:id="634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6737">
              <w:marLeft w:val="0"/>
              <w:marRight w:val="0"/>
              <w:marTop w:val="0"/>
              <w:marBottom w:val="0"/>
              <w:divBdr>
                <w:top w:val="none" w:sz="0" w:space="0" w:color="auto"/>
                <w:left w:val="none" w:sz="0" w:space="0" w:color="auto"/>
                <w:bottom w:val="none" w:sz="0" w:space="0" w:color="auto"/>
                <w:right w:val="none" w:sz="0" w:space="0" w:color="auto"/>
              </w:divBdr>
              <w:divsChild>
                <w:div w:id="1123421298">
                  <w:marLeft w:val="0"/>
                  <w:marRight w:val="0"/>
                  <w:marTop w:val="0"/>
                  <w:marBottom w:val="0"/>
                  <w:divBdr>
                    <w:top w:val="none" w:sz="0" w:space="0" w:color="auto"/>
                    <w:left w:val="none" w:sz="0" w:space="0" w:color="auto"/>
                    <w:bottom w:val="none" w:sz="0" w:space="0" w:color="auto"/>
                    <w:right w:val="none" w:sz="0" w:space="0" w:color="auto"/>
                  </w:divBdr>
                  <w:divsChild>
                    <w:div w:id="14077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8399">
              <w:marLeft w:val="0"/>
              <w:marRight w:val="0"/>
              <w:marTop w:val="0"/>
              <w:marBottom w:val="0"/>
              <w:divBdr>
                <w:top w:val="none" w:sz="0" w:space="0" w:color="auto"/>
                <w:left w:val="none" w:sz="0" w:space="0" w:color="auto"/>
                <w:bottom w:val="none" w:sz="0" w:space="0" w:color="auto"/>
                <w:right w:val="none" w:sz="0" w:space="0" w:color="auto"/>
              </w:divBdr>
              <w:divsChild>
                <w:div w:id="1325012307">
                  <w:marLeft w:val="0"/>
                  <w:marRight w:val="0"/>
                  <w:marTop w:val="0"/>
                  <w:marBottom w:val="0"/>
                  <w:divBdr>
                    <w:top w:val="none" w:sz="0" w:space="0" w:color="auto"/>
                    <w:left w:val="none" w:sz="0" w:space="0" w:color="auto"/>
                    <w:bottom w:val="none" w:sz="0" w:space="0" w:color="auto"/>
                    <w:right w:val="none" w:sz="0" w:space="0" w:color="auto"/>
                  </w:divBdr>
                  <w:divsChild>
                    <w:div w:id="1171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2367">
              <w:marLeft w:val="0"/>
              <w:marRight w:val="0"/>
              <w:marTop w:val="0"/>
              <w:marBottom w:val="0"/>
              <w:divBdr>
                <w:top w:val="none" w:sz="0" w:space="0" w:color="auto"/>
                <w:left w:val="none" w:sz="0" w:space="0" w:color="auto"/>
                <w:bottom w:val="none" w:sz="0" w:space="0" w:color="auto"/>
                <w:right w:val="none" w:sz="0" w:space="0" w:color="auto"/>
              </w:divBdr>
              <w:divsChild>
                <w:div w:id="1083338124">
                  <w:marLeft w:val="0"/>
                  <w:marRight w:val="0"/>
                  <w:marTop w:val="0"/>
                  <w:marBottom w:val="0"/>
                  <w:divBdr>
                    <w:top w:val="none" w:sz="0" w:space="0" w:color="auto"/>
                    <w:left w:val="none" w:sz="0" w:space="0" w:color="auto"/>
                    <w:bottom w:val="none" w:sz="0" w:space="0" w:color="auto"/>
                    <w:right w:val="none" w:sz="0" w:space="0" w:color="auto"/>
                  </w:divBdr>
                  <w:divsChild>
                    <w:div w:id="14074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5437">
          <w:marLeft w:val="3316"/>
          <w:marRight w:val="0"/>
          <w:marTop w:val="0"/>
          <w:marBottom w:val="0"/>
          <w:divBdr>
            <w:top w:val="none" w:sz="0" w:space="0" w:color="auto"/>
            <w:left w:val="none" w:sz="0" w:space="0" w:color="auto"/>
            <w:bottom w:val="none" w:sz="0" w:space="0" w:color="auto"/>
            <w:right w:val="none" w:sz="0" w:space="0" w:color="auto"/>
          </w:divBdr>
          <w:divsChild>
            <w:div w:id="727921861">
              <w:marLeft w:val="0"/>
              <w:marRight w:val="1069"/>
              <w:marTop w:val="0"/>
              <w:marBottom w:val="0"/>
              <w:divBdr>
                <w:top w:val="none" w:sz="0" w:space="0" w:color="auto"/>
                <w:left w:val="none" w:sz="0" w:space="0" w:color="auto"/>
                <w:bottom w:val="none" w:sz="0" w:space="0" w:color="auto"/>
                <w:right w:val="none" w:sz="0" w:space="0" w:color="auto"/>
              </w:divBdr>
              <w:divsChild>
                <w:div w:id="3872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9081" TargetMode="External"/><Relationship Id="rId13" Type="http://schemas.openxmlformats.org/officeDocument/2006/relationships/hyperlink" Target="https://www.zakon.hr/cms.htm?id=52057" TargetMode="External"/><Relationship Id="rId18" Type="http://schemas.openxmlformats.org/officeDocument/2006/relationships/image" Target="media/image1.jpeg"/><Relationship Id="rId26" Type="http://schemas.openxmlformats.org/officeDocument/2006/relationships/hyperlink" Target="https://www.zakon.hr/cms.htm?id=190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akon.hr/cms.htm?id=52057" TargetMode="External"/><Relationship Id="rId34" Type="http://schemas.openxmlformats.org/officeDocument/2006/relationships/control" Target="activeX/activeX1.xml"/><Relationship Id="rId7" Type="http://schemas.openxmlformats.org/officeDocument/2006/relationships/hyperlink" Target="https://www.zakon.hr/cms.htm?id=17861" TargetMode="External"/><Relationship Id="rId12" Type="http://schemas.openxmlformats.org/officeDocument/2006/relationships/hyperlink" Target="https://www.zakon.hr/cms.htm?id=52057" TargetMode="External"/><Relationship Id="rId17" Type="http://schemas.openxmlformats.org/officeDocument/2006/relationships/hyperlink" Target="https://www.zakon.hr/cms.htm?id=52057" TargetMode="External"/><Relationship Id="rId25" Type="http://schemas.openxmlformats.org/officeDocument/2006/relationships/hyperlink" Target="https://www.zakon.hr/cms.htm?id=52057" TargetMode="External"/><Relationship Id="rId33" Type="http://schemas.openxmlformats.org/officeDocument/2006/relationships/image" Target="media/image2.wmf"/><Relationship Id="rId38" Type="http://schemas.openxmlformats.org/officeDocument/2006/relationships/hyperlink" Target="https://www.zakon.hr/cms.htm?id=900" TargetMode="External"/><Relationship Id="rId2" Type="http://schemas.openxmlformats.org/officeDocument/2006/relationships/styles" Target="styles.xml"/><Relationship Id="rId16" Type="http://schemas.openxmlformats.org/officeDocument/2006/relationships/hyperlink" Target="https://www.zakon.hr/cms.htm?id=52057" TargetMode="External"/><Relationship Id="rId20" Type="http://schemas.openxmlformats.org/officeDocument/2006/relationships/hyperlink" Target="https://www.zakon.hr/cms.htm?id=52057" TargetMode="External"/><Relationship Id="rId29" Type="http://schemas.openxmlformats.org/officeDocument/2006/relationships/hyperlink" Target="https://www.zakon.hr/cms.htm?id=19081" TargetMode="External"/><Relationship Id="rId1" Type="http://schemas.openxmlformats.org/officeDocument/2006/relationships/numbering" Target="numbering.xml"/><Relationship Id="rId6" Type="http://schemas.openxmlformats.org/officeDocument/2006/relationships/hyperlink" Target="http://www.zakon.hr/cms.htm?id=11324"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19081" TargetMode="External"/><Relationship Id="rId32" Type="http://schemas.openxmlformats.org/officeDocument/2006/relationships/hyperlink" Target="https://www.zakon.hr/cms.htm?id=52057" TargetMode="External"/><Relationship Id="rId37" Type="http://schemas.openxmlformats.org/officeDocument/2006/relationships/hyperlink" Target="https://www.zakon.hr/cms.htm?id=901" TargetMode="External"/><Relationship Id="rId40" Type="http://schemas.openxmlformats.org/officeDocument/2006/relationships/theme" Target="theme/theme1.xml"/><Relationship Id="rId5" Type="http://schemas.openxmlformats.org/officeDocument/2006/relationships/hyperlink" Target="https://www.zakon.hr/cms.htm?id=2731"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17861" TargetMode="External"/><Relationship Id="rId28" Type="http://schemas.openxmlformats.org/officeDocument/2006/relationships/hyperlink" Target="https://www.zakon.hr/cms.htm?id=19081" TargetMode="External"/><Relationship Id="rId36" Type="http://schemas.openxmlformats.org/officeDocument/2006/relationships/hyperlink" Target="mailto:ante.boric@zakon.hr?subject=Bravo%21%20"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52057" TargetMode="External"/><Relationship Id="rId4" Type="http://schemas.openxmlformats.org/officeDocument/2006/relationships/webSettings" Target="webSettings.xm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52057" TargetMode="External"/><Relationship Id="rId27" Type="http://schemas.openxmlformats.org/officeDocument/2006/relationships/hyperlink" Target="https://www.zakon.hr/cms.htm?id=52057" TargetMode="External"/><Relationship Id="rId30" Type="http://schemas.openxmlformats.org/officeDocument/2006/relationships/hyperlink" Target="https://www.zakon.hr/cms.htm?id=52057" TargetMode="External"/><Relationship Id="rId35" Type="http://schemas.openxmlformats.org/officeDocument/2006/relationships/hyperlink" Target="https://www.zakon.hr/cms.htm?id=90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6007</Words>
  <Characters>34242</Characters>
  <Application>Microsoft Office Word</Application>
  <DocSecurity>0</DocSecurity>
  <Lines>285</Lines>
  <Paragraphs>80</Paragraphs>
  <ScaleCrop>false</ScaleCrop>
  <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2023-04-18T07:23:00Z</dcterms:created>
  <dcterms:modified xsi:type="dcterms:W3CDTF">2023-04-18T07:24:00Z</dcterms:modified>
</cp:coreProperties>
</file>