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3170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31704" w:rsidRDefault="00E012E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31704" w:rsidRDefault="00E012E3">
            <w:pPr>
              <w:spacing w:after="0" w:line="240" w:lineRule="auto"/>
            </w:pPr>
            <w:r>
              <w:t>8561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31704" w:rsidRDefault="00E012E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31704" w:rsidRDefault="00E012E3">
            <w:pPr>
              <w:spacing w:after="0" w:line="240" w:lineRule="auto"/>
            </w:pPr>
            <w:r>
              <w:t>OSNOVNA ŠKOLA SOKOLOVAC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31704" w:rsidRDefault="00E012E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31704" w:rsidRDefault="00E012E3">
            <w:pPr>
              <w:spacing w:after="0" w:line="240" w:lineRule="auto"/>
            </w:pPr>
            <w:r>
              <w:t>31</w:t>
            </w:r>
          </w:p>
        </w:tc>
      </w:tr>
    </w:tbl>
    <w:p w:rsidR="00831704" w:rsidRDefault="00E012E3">
      <w:r>
        <w:br/>
      </w:r>
    </w:p>
    <w:p w:rsidR="00831704" w:rsidRDefault="00E012E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31704" w:rsidRDefault="00E012E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31704" w:rsidRDefault="00E012E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1.354.889,75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1.448.231,07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1.338.947,27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1.535.586,57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8317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87.355,50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17.569,26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25.536,98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145,4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8317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17.549,05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25.536,98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145,5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8317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8317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1.606,57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112.892,48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7026,9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U razdoblju od 1. siječnja do 31. prosinca 2025. godine prihodi poslovanja ostvareni su u iznosu od 1.448.231,07 EUR. Najznačajnije povećanje prihoda je na prihodima od prodaje robe i pruženih usluga. Najznačajnije smanjenje prihoda bilježi se na kapitalni</w:t>
      </w:r>
      <w:r>
        <w:t>m pomoćima proračunskim korisnicima iz proračuna koji im nije nadležan. Rashodi poslovanja u razdoblju od 1. siječnja do 31. prosinca 2025 ostvareni su u iznosu od 1.535.586,57 EUR. Najznačajnije povećanje rashoda je na rashodima za zaposlene zbog evidenti</w:t>
      </w:r>
      <w:r>
        <w:t xml:space="preserve">ranja troškova plaće za prosinac 2025. Najznačajnije smanjenje rashoda je na rashodima za usluge promidžbe i </w:t>
      </w:r>
      <w:r>
        <w:lastRenderedPageBreak/>
        <w:t>informiranja jer u 2025 godini nismo imali trošak objave natječaja u NN. U navedenom razdoblju nema ostvarenih prihoda od prodaje nefinancijske imo</w:t>
      </w:r>
      <w:r>
        <w:t>vine. Rashodi za nabavu nefinancijske imovine ostvareni su u iznosu od 25.536,98 EUR i odnose se na nabavu opreme, ugradnju video</w:t>
      </w:r>
      <w:r w:rsidR="007544D5">
        <w:t>-</w:t>
      </w:r>
      <w:r>
        <w:t xml:space="preserve">nadzora te sustava kontrole ulaza. U razdoblju od </w:t>
      </w:r>
      <w:proofErr w:type="spellStart"/>
      <w:r>
        <w:t>od</w:t>
      </w:r>
      <w:proofErr w:type="spellEnd"/>
      <w:r>
        <w:t xml:space="preserve"> 1. siječnja do 31. prosinca 2025 ostvaren je manjak prihoda poslovanja u i</w:t>
      </w:r>
      <w:r>
        <w:t>znosu od 87.355,50 EUR i manjak prihoda od nefinancijske imovine u iznosu od 25.536,98 EUR. Na kraju izvještajno razdoblja ostvaren je ukupni manjak prihoda od 112.892,48 EUR.</w:t>
      </w:r>
    </w:p>
    <w:p w:rsidR="00831704" w:rsidRDefault="00E012E3">
      <w:r>
        <w:br/>
      </w:r>
    </w:p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1.243.345,37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1.318.600,48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106,1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Na poziciji tekuće pomoći proračunskim korisnicima iz proračuna koji im nije nadležan bilježi se rast ( indeks106,10) zbog povećanja osnovice za obračun plaće u 2025 godini.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50,8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Na kontu 6362 Kapitalne pomoći proračunskim korisnicima iz proračuna koji im nije nadležan smanjen je prihod u odnosu na prethodnu godinu jer je nabavljeno manje udžbenika za višegodišnju upotrebu.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19.150,06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21.562,92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Povećanje na poziciji tekući prijenosi između proračunskih korisnika istog proračuna temeljem prijenosa EU sredstava bilježi se jer je u 2025 godini isplaćeno 12 plaća za pomoćnike u nastavi.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4.609,36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Ostali nespomenuti prihodi smanjeni u odnosu na prethodno razdoblje. Odnose se na prihode  za prehranu u školskoj kuhinji zaposlenih te prihode za oštećene udžbenike koju snose roditelji.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901,4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Povećanje prihoda od prodaje proizvoda i usluga u 2025 odnosi se na prihod za višak proizvedene električne energije.</w:t>
      </w:r>
    </w:p>
    <w:p w:rsidR="00831704" w:rsidRDefault="00E012E3">
      <w:r>
        <w:t> 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1.112,14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176,1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Povećanje prihod od pruženih usluga odnosi se na  prihod od iznajmljivanja dvorane. 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166,2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Tekuće donacije  u 2025 godini odnose se na sredstva za dnevnice (izleti učenika), te donacija za eko-projekt sakupljanje malih baterija.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25.042,00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150,9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Povećanje prihodi iz nadležnog proračuna za financiranje rashoda za nabavu nefinancijske imovine u 2025 godini  odnosi se na ugradnju vanjskog video</w:t>
      </w:r>
      <w:r w:rsidR="007544D5">
        <w:t>-</w:t>
      </w:r>
      <w:r>
        <w:t>nadzora. U matičnoj školi i dvije područne škole ugrađen je sustav kontrole ulaza. Nabavljen je novi uredski</w:t>
      </w:r>
      <w:r>
        <w:t xml:space="preserve"> namještaj te jedno računalo.</w:t>
      </w:r>
    </w:p>
    <w:p w:rsidR="00831704" w:rsidRDefault="00E012E3">
      <w:r>
        <w:t> 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896.162,27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1.048.006,20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Plaće za redovni rad su veće u odnosu na prethodno izvještajno razdoblje zbog povećanja osnovice.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22.623,22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27.972,17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Plaće za prekovremeni rad - povećanje u odnosu na prethodno razdoblje zbog većeg broja bolovanja i prekovremenog rada.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15.741,18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21.795,39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138,5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Povećanja plaće za posebne uvjete bilježi se jer su zbog povećanja osnovice povećani posebni uvjeti. (rad u kombinacijama, rad po prilagođenim programu, rad na više škola)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153.915,42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178.650,73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Doprinos za obvezno zdravstveno osiguranje- povećanje zbog povećanja osnovice za obračun plaća.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176,7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Tijekom 2025 godine zabilježeno je više stručnih skupova, edukacija.</w:t>
      </w:r>
    </w:p>
    <w:p w:rsidR="00831704" w:rsidRDefault="00E012E3">
      <w:r>
        <w:t>Dodatno, povećanje troškova povezano je i s općim porastom troškova usluga na tržištu.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22,4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Na kontu stručnog usavršavanja zaposlenika bilježi se smanjenje jer je u 2025 godini pohađan jedan tečaj nižeg troška.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75,1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Smanjenje na poziciji Ostale naknade troškova zaposlenima odnosi se na manje troškove naknada za korištenje automobila u službene svrhe zbog manjeg broja službenih putovanja realiziranih osobnim vozilom.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5.199,40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4.496,60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86,5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Na poziciji Uredski materijal i ostali materijalni rashodi bilježi se smanjenje zbog manjih troškova materijala i sredstava za čišćenje zbog korištenja postojećih zaliha i manjeg opsega nabave.</w:t>
      </w:r>
    </w:p>
    <w:p w:rsidR="00831704" w:rsidRDefault="00E012E3">
      <w:r>
        <w:t> 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745,32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203,1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Troškovi sitnog inventara su veći u odnosu na prošlo izvještajno razdoblje zbog nabave posuđa u kuhinji i usisavača.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80,8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U 2025 godini trošak Usluge telefona, interneta, pošte i prijevoza je smanjen. Prethodne izvještajne godine troškovi su bili povećani zbog troškova prijevoza na županijska natjecanja.</w:t>
      </w:r>
    </w:p>
    <w:p w:rsidR="00831704" w:rsidRDefault="00E012E3">
      <w:r>
        <w:t> 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17,1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Troškovi za usluge promidžbe i informiranja su u 2025 godini smanjeni jer nije bilo objave natječaja.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151,8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 xml:space="preserve">U 2025. godini povećani su troškovi laboratorijskih usluga zbog kontrole vode na </w:t>
      </w:r>
      <w:proofErr w:type="spellStart"/>
      <w:r>
        <w:t>legionellu</w:t>
      </w:r>
      <w:proofErr w:type="spellEnd"/>
      <w:r>
        <w:t>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904,68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343,9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Troškovi intelektualnih i osobnih uslugu su veći u odnosu na prethodno izvještajno razdoblje zbog analize i izrade elaborata procjene rizika vodoopskrbne mreže.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4.614,44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54,5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Ostali nespomenuti rashodi poslovanja su manji u odnosu na prethodno razdoblje zbog manjeg broja projekta na kojima smo sudjelovali. 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 xml:space="preserve">Troškovi tekućih prijenosa između proračunskih korisnika istog proračuna su veći u odnosu na prethodno izvještajno razdoblje zbog sudjelovanja većeg broja učenika na </w:t>
      </w:r>
      <w:proofErr w:type="spellStart"/>
      <w:r>
        <w:t>Lidranu</w:t>
      </w:r>
      <w:proofErr w:type="spellEnd"/>
      <w:r>
        <w:t>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108.294,21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8085,6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Povećanje u odnosu na 2024 godinu odnosi se na plaću, materijalna prava i drugi dohodak za prosinac 2025, izdane a nenaplaćene račune za prosinac 2025. godine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Stambeni objekt je u potpunosti otplaćen 2024 godine.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10.620,04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180,0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 xml:space="preserve">Na poziciji Postrojenja i oprema vidljivo je povećanje troškova zbog ugradnje vanjskog </w:t>
      </w:r>
      <w:proofErr w:type="spellStart"/>
      <w:r>
        <w:t>videonadzora</w:t>
      </w:r>
      <w:proofErr w:type="spellEnd"/>
      <w:r>
        <w:t>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13.722,97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137,2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Rashodi za dodatna ulaganja na nefinancijskoj imovini su veći nego u prethodnom izvještajnom razdoblju zbog ulaganja u sustav kontrole ulaska u matičnoj školi i dvije područne škole.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8317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117.923,79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2343,8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Za 2025 godinu prikazan je manjak od 117.923,79 eura </w:t>
      </w:r>
    </w:p>
    <w:p w:rsidR="00831704" w:rsidRDefault="00E012E3">
      <w:r>
        <w:t>Prema izvorima financiranja rezultat poslovanja je:</w:t>
      </w:r>
    </w:p>
    <w:p w:rsidR="00831704" w:rsidRDefault="00E012E3">
      <w:r>
        <w:t> </w:t>
      </w:r>
    </w:p>
    <w:p w:rsidR="00831704" w:rsidRDefault="00E012E3">
      <w:r>
        <w:t>            -Izvor 4.5.       školska kuhinja                           +1.024,10 eura            </w:t>
      </w:r>
    </w:p>
    <w:p w:rsidR="00831704" w:rsidRDefault="00E012E3">
      <w:r>
        <w:t xml:space="preserve">            -Izvor 5.5.       Ministarstvo      </w:t>
      </w:r>
      <w:r>
        <w:t>                          -3.702,72 eura</w:t>
      </w:r>
    </w:p>
    <w:p w:rsidR="00831704" w:rsidRDefault="00E012E3">
      <w:r>
        <w:t>            -Izvor 1.2.        KKŽ                                            -1.968,08 eura</w:t>
      </w:r>
    </w:p>
    <w:p w:rsidR="00831704" w:rsidRDefault="00E012E3">
      <w:r>
        <w:t>           - Izvor 1.1.        KKŽ                                            -4.875,62 eura</w:t>
      </w:r>
    </w:p>
    <w:p w:rsidR="00831704" w:rsidRDefault="00E012E3">
      <w:r>
        <w:t>           - Izvor 5.6.     P</w:t>
      </w:r>
      <w:r>
        <w:t>omoći iz proračuna-EU, KKŽ      -1.348,88 eura</w:t>
      </w:r>
    </w:p>
    <w:p w:rsidR="00831704" w:rsidRDefault="00E012E3">
      <w:r>
        <w:t>           -Izvor 5.3.       Ministarstvo                                -107.052,59 eura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50,8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Na kontu 6362 Kapitalne pomoći proračunskim korisnicima iz proračuna koji im nije nadležan smanjen je prihod u odnosu na prethodnu godinu jer je nabavljeno manje udžbenika za višegodišnju upotrebu.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66,7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Troškovi naknade za bolest, invalidnost i smrtni slučaj su manji u 2025. godini zbog manjeg broja ostvarenih prava.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2.668.228,07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2.681.951,04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100,5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 xml:space="preserve">Tijekom 2025. godine izvršena su ulaganja na zgradi Osnovne škole </w:t>
      </w:r>
      <w:proofErr w:type="spellStart"/>
      <w:r>
        <w:t>Sokolovac</w:t>
      </w:r>
      <w:proofErr w:type="spellEnd"/>
      <w:r>
        <w:t xml:space="preserve"> (ugradnja sustava kontrole ulaska, sanacija parketa) u iznosu  13.722,97 eura.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građevinskih objekata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738.832,30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773.821,93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104,7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Ispravak vrijednosti građevinskih objekata obračunat je po važećim prosječnim godišnjim stopama prema Pravilniku o proračunskom računovodstvu i računskom planu.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236.198,36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221.074,92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93,6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 xml:space="preserve">Početkom 2025 godine izvršeno je </w:t>
      </w:r>
      <w:proofErr w:type="spellStart"/>
      <w:r>
        <w:t>isknjiženje</w:t>
      </w:r>
      <w:proofErr w:type="spellEnd"/>
      <w:r>
        <w:t xml:space="preserve"> računalne opreme i namještaja prema popisu inventurne komisije.</w:t>
      </w:r>
    </w:p>
    <w:p w:rsidR="00831704" w:rsidRDefault="00E012E3">
      <w:r>
        <w:t>Tokom 2025 godine nabavljeno je novo stolno računalo te uredski namještaj (radne i konferencijske stolice).</w:t>
      </w:r>
    </w:p>
    <w:p w:rsidR="00831704" w:rsidRDefault="00E012E3">
      <w:r>
        <w:t> 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41.332,23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49.698,19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Tokom 2025 godine izvršena su ulaganja u opremu za zaštitu te opremu za grijanje i hlađenje.</w:t>
      </w:r>
    </w:p>
    <w:p w:rsidR="00831704" w:rsidRDefault="00E012E3">
      <w:r>
        <w:lastRenderedPageBreak/>
        <w:t xml:space="preserve">Ugrađen je vanjski </w:t>
      </w:r>
      <w:proofErr w:type="spellStart"/>
      <w:r>
        <w:t>videonadzor</w:t>
      </w:r>
      <w:proofErr w:type="spellEnd"/>
      <w:r>
        <w:t xml:space="preserve"> u iznosu 5.037,50 eura. Nabavljen su peći te klima u ukupnom iznosu 3.473,00 eura.</w:t>
      </w:r>
    </w:p>
    <w:p w:rsidR="00831704" w:rsidRDefault="00E012E3">
      <w:r>
        <w:t> 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40.552,30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40.286,92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99,3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Bilježi se smanjenje u odnosu na 2024 godinu jer je tokom 2025 knjižen rashod prema popisu Inventurne komisije.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postrojenja i </w:t>
            </w:r>
            <w:r>
              <w:rPr>
                <w:sz w:val="18"/>
              </w:rPr>
              <w:t>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256.855,60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264.920,41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Ispravak vrijednosti postrojenja i opreme obračunat je po važećim prosječnim godišnjim stopama prema Pravilniku o proračunskom računovodstvu i računskom planu.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27.899,64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29.021,60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U 2025 godini upisani su novo nabavljeni udžbenici  za školsku godinu 2025-2026, te je rashodovan dio udžbenika prema popisu Inventurne komisije za udžbenike.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lastRenderedPageBreak/>
        <w:t>Na ostalim potraživanjima stanje od 1.862,11 eura odnosi se na neizvršene refundacije od HZZO-a  za naknade bolovanja dulje od 42 dana.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107.052,59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Potraživanja za pomoći proračunskim korisnicima u iznosu od 107.052,59 eura odnosi se na plaću, drugi dohodak, i materijalna prava za prosinac 2025 godine.</w:t>
      </w:r>
    </w:p>
    <w:p w:rsidR="00831704" w:rsidRDefault="00E012E3">
      <w:r>
        <w:t>Obračun plaće, drugog dohotka i materijalnih prava knjižen je u 31.12.2025.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416,7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Potraživanja za upravne i administrativne pristojbe, pristojbe po posebnim propisima i naknade odnose se na otvorena potraživanja po izdanim izlaznim fakturama za prehranu u školskoj kuhinji.</w:t>
      </w:r>
    </w:p>
    <w:p w:rsidR="00831704" w:rsidRDefault="00E012E3">
      <w:r>
        <w:t xml:space="preserve">Većina neplaćenih računa odnosi se na prehranu za prosinac 2025 </w:t>
      </w:r>
      <w:r>
        <w:t>godine.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Potraživanja za prihode od prodaje proizvoda i robe te pruženih usluga i za povrat po protestiranim jamstvima odnosi se na potraživanje od Unija papira, potraživanja od HEP-Opskrbe za  višak proizvedene električne energije te potraživanja za pruženu uslugu</w:t>
      </w:r>
      <w:r>
        <w:t xml:space="preserve"> najma dvorane.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8.002,13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119.106,23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1488,4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Potraživanja za pomoći proračunskim korisnicima u iznosu od 107.052,59 eura odnosi se na plaću, drugi dohodak, i materijalna prava za prosinac 2025 godine.</w:t>
      </w:r>
    </w:p>
    <w:p w:rsidR="00831704" w:rsidRDefault="00E012E3">
      <w:r>
        <w:t>Obračun plaće, drugog dohotka i materijalnih prava knjižen je u 31.12.2025.</w:t>
      </w:r>
    </w:p>
    <w:p w:rsidR="00831704" w:rsidRDefault="00E012E3">
      <w:r>
        <w:t>Isplata plaće, drugog do</w:t>
      </w:r>
      <w:r>
        <w:t>hotka i materijalnih prava  je u siječnju 2026 godine  kada će se obveze i zatvoriti.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6.287,19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14.033,92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223,2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Obveze za materijalne rashode su veće u odnosu na prethodnu godinu.</w:t>
      </w:r>
    </w:p>
    <w:p w:rsidR="00831704" w:rsidRDefault="00E012E3">
      <w:r>
        <w:t xml:space="preserve">Odnosi se na neplaćene račune za prosinac 2025 godine. ( Računi za namirnice, energente, komunalne troškove, troškove pošte i </w:t>
      </w:r>
      <w:proofErr w:type="spellStart"/>
      <w:r>
        <w:t>telefona,troškove</w:t>
      </w:r>
      <w:proofErr w:type="spellEnd"/>
      <w:r>
        <w:t xml:space="preserve"> za uredski materijal, zdravstvene usluge)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Na kontu 239 -Ostale tekuće obveze u 2025 godini nema stanja jer su prema novom Pravilniku o proračunskom računovodstvu knjiženja vezana uz bolovanje prebačena na konto 27612.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</w:t>
            </w:r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odnosi se na obveze HZZO-u za neizvršenu  refundaciju za   isplaćene naknade za bolovanje dulje od 42 dana. Obveza je manja od potraživanja za obračunato bolovanje za prosinac 2025 koje bude is</w:t>
      </w:r>
      <w:r>
        <w:t>plaćeno u siječnju 2025.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Odgođeno plaćanje rashoda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U 2025 godini nije bilo obračunatih rashoda koji terete tekuće razdoblje a da nisu fakturirani.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-5.031,31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-117.923,79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2343,8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 xml:space="preserve">Prema Pravilnika o proračunskom računovodstvu i računskom planu manjak prihoda  od nefinancijske imovne korigirali smo se za prihode po kontu 63622 Kapitalne pomoći proračunskim korisnicima, (sredstva MZO za nabavu  lektire, i udžbenika), te za prihode po </w:t>
      </w:r>
      <w:r>
        <w:t>kontu 67121 Prihodi iz nadležnog proračuna za financiranje rashoda za nabavu nefinancijske imovine.</w:t>
      </w:r>
    </w:p>
    <w:p w:rsidR="00831704" w:rsidRDefault="00E012E3">
      <w:r>
        <w:t>Nakon izvršene korekcije rezultata prema  Pravilnika o proračunskom računovodstvu </w:t>
      </w:r>
    </w:p>
    <w:p w:rsidR="00831704" w:rsidRDefault="00E012E3">
      <w:r>
        <w:t>rezultat poslovanja za 2025. godinu iznosi ( Manjak od 117.923,79 eura) a</w:t>
      </w:r>
      <w:r>
        <w:t xml:space="preserve"> čine ga:</w:t>
      </w:r>
    </w:p>
    <w:p w:rsidR="00831704" w:rsidRDefault="00E012E3">
      <w:r>
        <w:t> </w:t>
      </w:r>
    </w:p>
    <w:p w:rsidR="00831704" w:rsidRDefault="00E012E3">
      <w:r>
        <w:t>            -Izvor 4.5.       školska kuhinja                      +1.024,10 eura            </w:t>
      </w:r>
    </w:p>
    <w:p w:rsidR="00831704" w:rsidRDefault="00E012E3">
      <w:r>
        <w:t>            -Izvor 5.5.       Ministarstvo                           -3.702,72 eura</w:t>
      </w:r>
    </w:p>
    <w:p w:rsidR="00831704" w:rsidRDefault="00E012E3">
      <w:r>
        <w:t xml:space="preserve">            -Izvor 1.2.        KKŽ                                </w:t>
      </w:r>
      <w:r>
        <w:t>       -1.968,08 eura</w:t>
      </w:r>
    </w:p>
    <w:p w:rsidR="00831704" w:rsidRDefault="00E012E3">
      <w:r>
        <w:t>           - Izvor 1.1.        KKŽ                                       -4.875,62 eura</w:t>
      </w:r>
    </w:p>
    <w:p w:rsidR="00831704" w:rsidRDefault="00E012E3">
      <w:r>
        <w:t>           - Izvor 5.6.     Pomoći iz proračuna-EU, KKŽ  -1.348,88 eura</w:t>
      </w:r>
    </w:p>
    <w:p w:rsidR="00831704" w:rsidRDefault="00E012E3">
      <w:r>
        <w:lastRenderedPageBreak/>
        <w:t>           -Izvor 5.3.       Ministarstvo                           -107.0</w:t>
      </w:r>
      <w:r>
        <w:t>52,59 eura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108.294,21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8085,6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Povećanje u odnosu na 2024 godinu odnosi se na plaću, materijalna prava i drugi dohodak za prosinac 2025, izdane a nenaplaćene račune za prosinac 2025. godine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1.308.136,77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1.526.109,08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Šifra 0912 – Osnovno obrazovanje- prikazani rashodi vezani uz obrazovanje.</w:t>
      </w:r>
    </w:p>
    <w:p w:rsidR="00831704" w:rsidRDefault="00E012E3">
      <w:r>
        <w:t>         =1.526.109,08        </w:t>
      </w:r>
    </w:p>
    <w:p w:rsidR="00831704" w:rsidRDefault="00E012E3">
      <w:r>
        <w:t>          Rashodi razreda 3 u iznosu od:   1.500.572,10eura</w:t>
      </w:r>
    </w:p>
    <w:p w:rsidR="00831704" w:rsidRDefault="00E012E3">
      <w:r>
        <w:t>          Rashodi razreda 4 u iznosu od:        25.536,98 eura</w:t>
      </w:r>
    </w:p>
    <w:p w:rsidR="00831704" w:rsidRDefault="00E012E3">
      <w:r>
        <w:t>                           </w:t>
      </w:r>
      <w:r>
        <w:t xml:space="preserve">                                      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obrazovanja koje nisu drugdje svrstane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35.014,47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Šifra 098 – Usluge obrazovanja koje nisu drugdje svrstane</w:t>
      </w:r>
    </w:p>
    <w:p w:rsidR="00831704" w:rsidRDefault="00E012E3">
      <w:r>
        <w:t>       </w:t>
      </w:r>
      <w:bookmarkStart w:id="0" w:name="_GoBack"/>
      <w:bookmarkEnd w:id="0"/>
      <w:r>
        <w:t xml:space="preserve"> Rashodi razreda 3 u iznosu od 35.014,47 eura</w:t>
      </w:r>
    </w:p>
    <w:p w:rsidR="00831704" w:rsidRDefault="00E012E3">
      <w:r>
        <w:t> </w:t>
      </w:r>
    </w:p>
    <w:p w:rsidR="00831704" w:rsidRDefault="00E012E3">
      <w:r>
        <w:t>Prethodne godine navedena stavka bila je upisana pod šifrom 096-dodatne usluge u obrazovanju.</w:t>
      </w:r>
    </w:p>
    <w:p w:rsidR="00831704" w:rsidRDefault="00E012E3">
      <w:r>
        <w:t>                          </w:t>
      </w:r>
    </w:p>
    <w:p w:rsidR="00831704" w:rsidRDefault="00E012E3">
      <w:r>
        <w:lastRenderedPageBreak/>
        <w:t> 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60.769,14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60.769,14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 xml:space="preserve">Prema </w:t>
      </w:r>
      <w:proofErr w:type="spellStart"/>
      <w:r>
        <w:t>čl</w:t>
      </w:r>
      <w:proofErr w:type="spellEnd"/>
      <w:r>
        <w:t xml:space="preserve"> 120. i 121. novog Pravilnika o proračunskom računovodstvu i računskom planu ispravak vrijednosti dugotrajne nefinancijske imovine  knjiži se preko podskupine 915.</w:t>
      </w:r>
    </w:p>
    <w:p w:rsidR="00831704" w:rsidRDefault="00E012E3">
      <w:r>
        <w:t> 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8317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Stanje obveza na početku izvještajnog razdoblja, odnosno 01.01.2025. godine iznosilo je 8.002,13 eura, a odnosi se na račune, koji su knjiženi sa 31.12.2024 godine, a plaćeni  u toku mjeseca siječnja 2025. godine.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8317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120.446,80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> U razdoblju 01.01.-31.12.2025. godine vidljivo je da su obveze povećane za materijalne rashode te rashode za zaposlene. Dio obveza plaćen je u izvještajnom  razdoblju, ostale obveze podmirit će se u siječnju 2026. godine. Stanje nedospjelih obveza iznosi </w:t>
      </w:r>
      <w:r>
        <w:t xml:space="preserve"> 120.446,80 eura. Od toga </w:t>
      </w:r>
      <w:proofErr w:type="spellStart"/>
      <w:r>
        <w:t>obvaze</w:t>
      </w:r>
      <w:proofErr w:type="spellEnd"/>
      <w:r>
        <w:t xml:space="preserve"> za zaposlene 105.070,65 EUR, obveze za materijalne rashode 14.033,92 EUR, obveze za financijske rashode 1,66 EUR,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  1.340,57 EUR.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lastRenderedPageBreak/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31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7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8317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31704" w:rsidRDefault="00E012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31704" w:rsidRDefault="00831704">
      <w:pPr>
        <w:spacing w:after="0"/>
      </w:pPr>
    </w:p>
    <w:p w:rsidR="00831704" w:rsidRDefault="00E012E3">
      <w:r>
        <w:t xml:space="preserve">U izvještajnom razdoblju OŠ </w:t>
      </w:r>
      <w:proofErr w:type="spellStart"/>
      <w:r>
        <w:t>Sokolovac</w:t>
      </w:r>
      <w:proofErr w:type="spellEnd"/>
      <w:r>
        <w:t xml:space="preserve"> je podmirivala sve preuzete obveze. Slijedom navedenog, na dan 31. prosinca 2025. godine stanje dospjelih obveza iznosi 0,00 EUR.</w:t>
      </w:r>
    </w:p>
    <w:p w:rsidR="00831704" w:rsidRDefault="00831704"/>
    <w:p w:rsidR="00831704" w:rsidRDefault="00E012E3">
      <w:pPr>
        <w:keepNext/>
        <w:spacing w:line="240" w:lineRule="auto"/>
        <w:jc w:val="center"/>
      </w:pPr>
      <w:r>
        <w:rPr>
          <w:sz w:val="28"/>
        </w:rPr>
        <w:t>Bilješka 56.</w:t>
      </w:r>
    </w:p>
    <w:p w:rsidR="00831704" w:rsidRDefault="00E012E3">
      <w:pPr>
        <w:spacing w:line="240" w:lineRule="auto"/>
        <w:jc w:val="both"/>
      </w:pPr>
      <w:r>
        <w:rPr>
          <w:b/>
        </w:rPr>
        <w:t>EU izvještaj</w:t>
      </w:r>
    </w:p>
    <w:p w:rsidR="00831704" w:rsidRDefault="00E012E3">
      <w:r>
        <w:t>1.Prihodi i primici vezani uz EU sredstva</w:t>
      </w:r>
    </w:p>
    <w:p w:rsidR="00831704" w:rsidRDefault="00E012E3">
      <w:r>
        <w:t>U izvještajnom razd</w:t>
      </w:r>
      <w:r>
        <w:t>oblju Škola je ostvarila prihode povezane s provedbom aktivnosti financiranih sredstvima Europske unije u ukupnom iznosu od 21.562,92 EUR.</w:t>
      </w:r>
      <w:r>
        <w:br/>
        <w:t>Ostvareni prihodi evidentirani su na kontu 6393 – Tekući prijenosi između proračunskih korisnika istog proračuna teme</w:t>
      </w:r>
      <w:r>
        <w:t>ljem prijenosa EU sredstava, a odnose se na sredstva doznačena putem nadležnog proračuna za provedbu EU projekata Prilika za sve 7 i Školska shema.</w:t>
      </w:r>
    </w:p>
    <w:p w:rsidR="00831704" w:rsidRDefault="00E012E3">
      <w:r>
        <w:t>2. Rashodi i izdaci</w:t>
      </w:r>
    </w:p>
    <w:p w:rsidR="00831704" w:rsidRDefault="00E012E3">
      <w:r>
        <w:t>Ukupni rashodi povezani s provedbom EU aktivnosti u izvještajnom razdoblju iznose 22.793</w:t>
      </w:r>
      <w:r>
        <w:t>,55 EUR. </w:t>
      </w:r>
    </w:p>
    <w:p w:rsidR="00831704" w:rsidRDefault="00E012E3">
      <w:r>
        <w:t>2.1.Rashodi za zaposlene</w:t>
      </w:r>
    </w:p>
    <w:p w:rsidR="00831704" w:rsidRDefault="00E012E3">
      <w:r>
        <w:t>Ukupni rashodi: 19.857,72 EUR</w:t>
      </w:r>
    </w:p>
    <w:p w:rsidR="00831704" w:rsidRDefault="00E012E3">
      <w:r>
        <w:t>Plaće za redovan rad: 16.178,27 EUR</w:t>
      </w:r>
    </w:p>
    <w:p w:rsidR="00831704" w:rsidRDefault="00E012E3">
      <w:r>
        <w:t>Ostali rashodi za zaposlene: 1.010,00 EUR</w:t>
      </w:r>
    </w:p>
    <w:p w:rsidR="00831704" w:rsidRDefault="00E012E3">
      <w:r>
        <w:t>Doprinosi na plaće (zdravstveno osiguranje): 2.669,45 EUR</w:t>
      </w:r>
    </w:p>
    <w:p w:rsidR="00831704" w:rsidRDefault="00E012E3">
      <w:r>
        <w:t>2.2. Materijalni rashodi</w:t>
      </w:r>
    </w:p>
    <w:p w:rsidR="00831704" w:rsidRDefault="00E012E3">
      <w:r>
        <w:t>Ukupni materijalni rashodi: 2.935,83 EUR</w:t>
      </w:r>
    </w:p>
    <w:p w:rsidR="00831704" w:rsidRDefault="00E012E3">
      <w:r>
        <w:t>Naknade troškova zaposlenima (prijevoz i službena putovanja): 877,75 EUR</w:t>
      </w:r>
    </w:p>
    <w:p w:rsidR="00831704" w:rsidRDefault="00E012E3">
      <w:r>
        <w:t>Rashodi za materijal i sirovine: 2.058,08EUR</w:t>
      </w:r>
    </w:p>
    <w:p w:rsidR="00831704" w:rsidRDefault="00E012E3">
      <w:r>
        <w:t>3. Nacionalno sufinanciranje</w:t>
      </w:r>
    </w:p>
    <w:p w:rsidR="00831704" w:rsidRDefault="00E012E3">
      <w:r>
        <w:t>U izvještajnom razdoblju nije bilo evidentirano nacionalno sufinanci</w:t>
      </w:r>
      <w:r>
        <w:t>ranje EU aktivnosti. Svi rashodi iskazani su u okviru izvora financiranja za praćenje EU sredstava.</w:t>
      </w:r>
    </w:p>
    <w:p w:rsidR="00831704" w:rsidRDefault="00E012E3">
      <w:r>
        <w:t>4. Razlika prihoda i rashoda</w:t>
      </w:r>
    </w:p>
    <w:p w:rsidR="00831704" w:rsidRDefault="00E012E3">
      <w:r>
        <w:lastRenderedPageBreak/>
        <w:t>U izvještajnom razdoblju ostvareni rashodi povezani s EU aktivnostima veći su od ostvarenih prihoda, što je u skladu s dinamiko</w:t>
      </w:r>
      <w:r>
        <w:t>m financiranja EU projekata. Nadoknada sredstava ostvaruje se putem naknadnih prijenosa iz nadležnog proračuna.</w:t>
      </w:r>
    </w:p>
    <w:p w:rsidR="00831704" w:rsidRDefault="00E012E3">
      <w:r>
        <w:t>5. Obveze</w:t>
      </w:r>
    </w:p>
    <w:p w:rsidR="00831704" w:rsidRDefault="00E012E3">
      <w:r>
        <w:t>Na dan završetka izvještajnog razdoblja Škola nema dospjelih obveza vezanih uz provedbu EU aktivnosti.</w:t>
      </w:r>
      <w:r>
        <w:br/>
        <w:t>Stanje dospjelih obveza: 0,00 E</w:t>
      </w:r>
      <w:r>
        <w:t>UR</w:t>
      </w:r>
    </w:p>
    <w:p w:rsidR="00831704" w:rsidRDefault="00E012E3">
      <w:r>
        <w:t>Izvor 561 – Europski socijalni fond plus (ESF+)</w:t>
      </w:r>
    </w:p>
    <w:p w:rsidR="00831704" w:rsidRDefault="00E012E3">
      <w:r>
        <w:t>1. Prihodi i primici</w:t>
      </w:r>
    </w:p>
    <w:p w:rsidR="00831704" w:rsidRDefault="00E012E3">
      <w:r>
        <w:t>U izvještajnom razdoblju Škola je ostvarila prihode vezane uz izvor financiranja 561 – Europski socijalni fond plus u ukupnom iznosu od 19.490,26 EUR za provedbu projekta Prilika za sv</w:t>
      </w:r>
      <w:r>
        <w:t xml:space="preserve">e 7, uključujući plaće, materijalna prava te naknadu za prijevoz pomoćnika u nastavi. Ostvareni prihodi evidentirani su na kontu 6393 – Tekući prijenosi između proračunskih korisnika istog proračuna temeljem prijenosa EU sredstava, a odnose se na sredstva </w:t>
      </w:r>
      <w:r>
        <w:t>doznačena putem nadležnog proračuna za provedbu aktivnosti financiranih iz ESF+.</w:t>
      </w:r>
    </w:p>
    <w:p w:rsidR="00831704" w:rsidRDefault="00E012E3">
      <w:r>
        <w:t>2. Rashodi i izdaci</w:t>
      </w:r>
    </w:p>
    <w:p w:rsidR="00831704" w:rsidRDefault="00E012E3">
      <w:r>
        <w:t>Ukupni rashodi financirani iz izvora 561 u izvještajnom razdoblju iznose 20.735,47 EUR</w:t>
      </w:r>
    </w:p>
    <w:p w:rsidR="00831704" w:rsidRDefault="00E012E3">
      <w:r>
        <w:t>2.1. Rashodi za zaposlene</w:t>
      </w:r>
    </w:p>
    <w:p w:rsidR="00831704" w:rsidRDefault="00E012E3">
      <w:r>
        <w:t>Ukupno: 19.857,72 EUR</w:t>
      </w:r>
    </w:p>
    <w:p w:rsidR="00831704" w:rsidRDefault="00E012E3">
      <w:r>
        <w:t>Plaće za redovan rad</w:t>
      </w:r>
      <w:r>
        <w:t>: 16.178,27 EUR</w:t>
      </w:r>
    </w:p>
    <w:p w:rsidR="00831704" w:rsidRDefault="00E012E3">
      <w:r>
        <w:t>Ostali rashodi za zaposlene: 1.010,00 EUR</w:t>
      </w:r>
    </w:p>
    <w:p w:rsidR="00831704" w:rsidRDefault="00E012E3">
      <w:r>
        <w:t>Doprinosi na plaće (zdravstveno osiguranje): 2.669,45 EUR</w:t>
      </w:r>
    </w:p>
    <w:p w:rsidR="00831704" w:rsidRDefault="00E012E3">
      <w:r>
        <w:t>2.2. Materijalni rashodi</w:t>
      </w:r>
    </w:p>
    <w:p w:rsidR="00831704" w:rsidRDefault="00E012E3">
      <w:r>
        <w:t>Ukupno: 877,75 EUR</w:t>
      </w:r>
    </w:p>
    <w:p w:rsidR="00831704" w:rsidRDefault="00E012E3">
      <w:r>
        <w:t>Naknade troškova zaposlenima (službena putovanja i prijevoz): 877,75 EUR</w:t>
      </w:r>
    </w:p>
    <w:p w:rsidR="00831704" w:rsidRDefault="00E012E3">
      <w:r>
        <w:t>3. Razlika prihoda i rashoda</w:t>
      </w:r>
    </w:p>
    <w:p w:rsidR="00831704" w:rsidRDefault="00E012E3">
      <w:r>
        <w:t>Razlika između prihoda i rashoda nastala je zbog vremenskog nesklada u evidentiranju rashoda i prihoda. Rashodi za plaću pomoćnika u nastavi evidentirani su u prosincu 2025., dok je isplata plaće izvršena u siječnju 2026. Priho</w:t>
      </w:r>
      <w:r>
        <w:t>d za pokriće navedenih rashoda evidentiran je u 2026. godini.</w:t>
      </w:r>
    </w:p>
    <w:p w:rsidR="00831704" w:rsidRDefault="00E012E3">
      <w:r>
        <w:t>4. Obveze</w:t>
      </w:r>
    </w:p>
    <w:p w:rsidR="00831704" w:rsidRDefault="00E012E3">
      <w:r>
        <w:t>Na dan završetka izvještajnog razdoblja Škola nema dospjelih obveza.</w:t>
      </w:r>
      <w:r>
        <w:br/>
        <w:t>Stanje dospjelih obveza: 0,00 EUR</w:t>
      </w:r>
    </w:p>
    <w:p w:rsidR="00831704" w:rsidRDefault="00E012E3">
      <w:r>
        <w:t> </w:t>
      </w:r>
    </w:p>
    <w:p w:rsidR="00831704" w:rsidRDefault="00E012E3">
      <w:r>
        <w:t>Izvor 565 – Europski poljoprivredni fond za ruralni razvoj (EPFRR)</w:t>
      </w:r>
    </w:p>
    <w:p w:rsidR="00831704" w:rsidRDefault="00E012E3">
      <w:r>
        <w:lastRenderedPageBreak/>
        <w:t>1. Prihodi i</w:t>
      </w:r>
      <w:r>
        <w:t xml:space="preserve"> primici</w:t>
      </w:r>
    </w:p>
    <w:p w:rsidR="00831704" w:rsidRDefault="00E012E3">
      <w:r>
        <w:t>U izvještajnom razdoblju Škola je ostvarila prihode iz izvora 565 – Europski poljoprivredni fond za ruralni razvoj u ukupnom iznosu od 2.072,66 EUR, u sklopu projekta Školska shema za nabavu namirnica (mlijeka i voća) za učenike škole. Ostvareni prihodi ev</w:t>
      </w:r>
      <w:r>
        <w:t>identirani su na kontu 6393 – Tekući prijenosi između proračunskih korisnika istog proračuna.</w:t>
      </w:r>
    </w:p>
    <w:p w:rsidR="00831704" w:rsidRDefault="00E012E3">
      <w:r>
        <w:t>2. Rashodi i izdaci</w:t>
      </w:r>
    </w:p>
    <w:p w:rsidR="00831704" w:rsidRDefault="00E012E3">
      <w:r>
        <w:t>Ukupni rashodi iz ovog izvora iznose 2.058,08 EUR, i odnose se isključivo na materijalne rashode: Rashodi za materijal i sirovine (konto 3222)</w:t>
      </w:r>
      <w:r>
        <w:t>: 2.058,08 EUR</w:t>
      </w:r>
    </w:p>
    <w:p w:rsidR="00831704" w:rsidRDefault="00E012E3">
      <w:r>
        <w:t>3. Razlika prihoda i rashoda</w:t>
      </w:r>
    </w:p>
    <w:p w:rsidR="00831704" w:rsidRDefault="00E012E3">
      <w:r>
        <w:t>Razlika nastala zbog vremenskog nesklada u evidentiranju poslovnih događaja. Rashodi za namirnice za prosinac 2025. evidentirani su 31.12.2025., dok je plaćanje izvršeno u siječnju 2026. Prihod za pokriće rashoda</w:t>
      </w:r>
      <w:r>
        <w:t xml:space="preserve"> evidentiran je u 2026.</w:t>
      </w:r>
    </w:p>
    <w:p w:rsidR="00831704" w:rsidRDefault="00E012E3">
      <w:r>
        <w:t>4. Obveze</w:t>
      </w:r>
    </w:p>
    <w:p w:rsidR="00831704" w:rsidRDefault="00E012E3">
      <w:r>
        <w:t>Na dan završetka izvještajnog razdoblja Škola nema dospjelih obveza.</w:t>
      </w:r>
      <w:r>
        <w:br/>
        <w:t>Stanje dospjelih obveza: 0,00 EUR</w:t>
      </w:r>
    </w:p>
    <w:p w:rsidR="00831704" w:rsidRDefault="00E012E3">
      <w:r>
        <w:t> </w:t>
      </w:r>
    </w:p>
    <w:p w:rsidR="00831704" w:rsidRDefault="00E012E3">
      <w:r>
        <w:t> </w:t>
      </w:r>
    </w:p>
    <w:p w:rsidR="00831704" w:rsidRDefault="00E012E3">
      <w:r>
        <w:t> </w:t>
      </w:r>
    </w:p>
    <w:p w:rsidR="00831704" w:rsidRDefault="00E012E3">
      <w:r>
        <w:t> </w:t>
      </w:r>
    </w:p>
    <w:p w:rsidR="00831704" w:rsidRDefault="00831704"/>
    <w:sectPr w:rsidR="00831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04"/>
    <w:rsid w:val="007544D5"/>
    <w:rsid w:val="00831704"/>
    <w:rsid w:val="00E0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CB6F"/>
  <w15:docId w15:val="{431FCECC-952D-4F63-BBD8-0AB474BB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4424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2026-01-28T14:00:00Z</dcterms:created>
  <dcterms:modified xsi:type="dcterms:W3CDTF">2026-01-28T14:01:00Z</dcterms:modified>
</cp:coreProperties>
</file>